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71" w:rsidRPr="0090106A" w:rsidRDefault="00000971" w:rsidP="00000971">
      <w:pPr>
        <w:pStyle w:val="tekstglowny"/>
        <w:spacing w:after="113"/>
        <w:jc w:val="center"/>
        <w:rPr>
          <w:rFonts w:ascii="Arial" w:hAnsi="Arial" w:cs="Arial"/>
          <w:b/>
          <w:sz w:val="28"/>
          <w:szCs w:val="28"/>
        </w:rPr>
      </w:pPr>
      <w:r w:rsidRPr="0090106A">
        <w:rPr>
          <w:rFonts w:ascii="Arial" w:hAnsi="Arial" w:cs="Arial"/>
          <w:b/>
          <w:sz w:val="28"/>
          <w:szCs w:val="28"/>
        </w:rPr>
        <w:t>Roczne wymagania edukacyjne z fizyki klasa 7</w:t>
      </w:r>
    </w:p>
    <w:p w:rsidR="00000971" w:rsidRDefault="00000971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000971">
        <w:trPr>
          <w:trHeight w:val="60"/>
          <w:tblHeader/>
          <w:jc w:val="center"/>
        </w:trPr>
        <w:tc>
          <w:tcPr>
            <w:tcW w:w="3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000971" w:rsidRDefault="00902585">
            <w:pPr>
              <w:pStyle w:val="tabelaglowatabela"/>
              <w:rPr>
                <w:color w:val="auto"/>
              </w:rPr>
            </w:pPr>
            <w:r w:rsidRPr="00000971">
              <w:rPr>
                <w:color w:val="auto"/>
              </w:rPr>
              <w:t>Stopień dopuszczający</w:t>
            </w:r>
          </w:p>
        </w:tc>
        <w:tc>
          <w:tcPr>
            <w:tcW w:w="3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000971" w:rsidRDefault="00902585">
            <w:pPr>
              <w:pStyle w:val="tabelaglowatabela"/>
              <w:rPr>
                <w:color w:val="auto"/>
              </w:rPr>
            </w:pPr>
            <w:r w:rsidRPr="00000971">
              <w:rPr>
                <w:color w:val="auto"/>
              </w:rPr>
              <w:t>Stopień dostateczny</w:t>
            </w:r>
          </w:p>
        </w:tc>
        <w:tc>
          <w:tcPr>
            <w:tcW w:w="34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000971" w:rsidRDefault="00902585">
            <w:pPr>
              <w:pStyle w:val="tabelaglowatabela"/>
              <w:rPr>
                <w:color w:val="auto"/>
              </w:rPr>
            </w:pPr>
            <w:r w:rsidRPr="00000971">
              <w:rPr>
                <w:color w:val="auto"/>
              </w:rPr>
              <w:t>Stopień dobry</w:t>
            </w:r>
          </w:p>
        </w:tc>
        <w:tc>
          <w:tcPr>
            <w:tcW w:w="3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000971" w:rsidRDefault="00902585">
            <w:pPr>
              <w:pStyle w:val="tabelaglowatabela"/>
              <w:rPr>
                <w:color w:val="auto"/>
              </w:rPr>
            </w:pPr>
            <w:r w:rsidRPr="00000971">
              <w:rPr>
                <w:color w:val="auto"/>
              </w:rPr>
              <w:t>Stopień bardzo dobry</w:t>
            </w:r>
          </w:p>
        </w:tc>
      </w:tr>
      <w:tr w:rsidR="009C60D0" w:rsidRPr="00AA0C29" w:rsidTr="00000971">
        <w:trPr>
          <w:trHeight w:val="113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737557" w:rsidRDefault="00737557" w:rsidP="00791A66">
            <w:pPr>
              <w:pStyle w:val="tabelatresctabela"/>
              <w:jc w:val="center"/>
              <w:rPr>
                <w:b/>
              </w:rPr>
            </w:pPr>
          </w:p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A0C29" w:rsidTr="00000971">
        <w:trPr>
          <w:trHeight w:val="567"/>
          <w:jc w:val="center"/>
        </w:trPr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lastRenderedPageBreak/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lastRenderedPageBreak/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buduje prosty siłomierz i wyznacza przy </w:t>
            </w:r>
            <w:r w:rsidRPr="00C127F1">
              <w:lastRenderedPageBreak/>
              <w:t>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000971" w:rsidRPr="00AA0C29" w:rsidTr="00000971">
        <w:trPr>
          <w:trHeight w:val="313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737557" w:rsidRPr="00737557" w:rsidRDefault="00737557" w:rsidP="00737557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zadania o wysokim stopniu trudności.</w:t>
            </w:r>
          </w:p>
          <w:p w:rsidR="00000971" w:rsidRPr="0011106B" w:rsidRDefault="00000971" w:rsidP="00737557">
            <w:pPr>
              <w:pStyle w:val="tabeladzialtabela"/>
              <w:jc w:val="left"/>
              <w:rPr>
                <w:b/>
              </w:rPr>
            </w:pPr>
          </w:p>
        </w:tc>
      </w:tr>
      <w:tr w:rsidR="00000971" w:rsidRPr="00AA0C29" w:rsidTr="00000971">
        <w:trPr>
          <w:trHeight w:val="313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737557" w:rsidRDefault="00737557" w:rsidP="00000971">
            <w:pPr>
              <w:pStyle w:val="tabeladzialtabela"/>
              <w:rPr>
                <w:b/>
              </w:rPr>
            </w:pPr>
          </w:p>
          <w:p w:rsidR="00737557" w:rsidRDefault="00000971" w:rsidP="00737557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A0C29" w:rsidTr="00000971">
        <w:trPr>
          <w:trHeight w:val="1701"/>
          <w:jc w:val="center"/>
        </w:trPr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clear" w:color="auto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 xml:space="preserve">doświadczalnie demonstruje zjawisko napięcia </w:t>
            </w:r>
            <w:r w:rsidRPr="003765B1">
              <w:rPr>
                <w:highlight w:val="lightGray"/>
              </w:rPr>
              <w:lastRenderedPageBreak/>
              <w:t>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 xml:space="preserve">nia); rozpoznaje proporcjonalność prostą oraz </w:t>
            </w:r>
            <w:r w:rsidRPr="00C127F1">
              <w:lastRenderedPageBreak/>
              <w:t>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000971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>nie gęstości cieczy za pomocą wagi i cylindra miarowego, korzystając z opisów doświa</w:t>
            </w:r>
            <w:r w:rsidRPr="00C127F1">
              <w:t>d</w:t>
            </w:r>
            <w:r w:rsidRPr="00C127F1">
              <w:t>czeń i przestrzegając zasad bezpieczeństwa; przedstawia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</w:t>
            </w:r>
            <w:r w:rsidRPr="00C127F1">
              <w:t>o</w:t>
            </w:r>
            <w:r w:rsidRPr="00C127F1">
              <w:lastRenderedPageBreak/>
              <w:t>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lastRenderedPageBreak/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lastRenderedPageBreak/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737557" w:rsidRPr="00AA0C29" w:rsidTr="00737557">
        <w:trPr>
          <w:trHeight w:val="107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37557" w:rsidRPr="00737557" w:rsidRDefault="00737557" w:rsidP="00737557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zadania o wysokim stopniu trudności.</w:t>
            </w:r>
          </w:p>
          <w:p w:rsidR="00737557" w:rsidRDefault="00737557" w:rsidP="00737557">
            <w:pPr>
              <w:pStyle w:val="tabeladzialtabela"/>
              <w:jc w:val="left"/>
              <w:rPr>
                <w:b/>
              </w:rPr>
            </w:pPr>
          </w:p>
          <w:p w:rsidR="00737557" w:rsidRDefault="00737557" w:rsidP="00737557">
            <w:pPr>
              <w:pStyle w:val="tabeladzialtabela"/>
              <w:jc w:val="left"/>
              <w:rPr>
                <w:b/>
              </w:rPr>
            </w:pPr>
          </w:p>
          <w:p w:rsidR="00737557" w:rsidRPr="0011106B" w:rsidRDefault="00737557" w:rsidP="00737557">
            <w:pPr>
              <w:pStyle w:val="tabeladzialtabela"/>
              <w:jc w:val="left"/>
              <w:rPr>
                <w:b/>
              </w:rPr>
            </w:pPr>
          </w:p>
        </w:tc>
      </w:tr>
      <w:tr w:rsidR="00737557" w:rsidTr="00737557">
        <w:trPr>
          <w:trHeight w:val="106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37557" w:rsidRDefault="00737557" w:rsidP="00791A66">
            <w:pPr>
              <w:pStyle w:val="tabeladzialtabela"/>
              <w:rPr>
                <w:b/>
              </w:rPr>
            </w:pPr>
          </w:p>
          <w:p w:rsidR="00737557" w:rsidRPr="0011106B" w:rsidRDefault="00737557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A0C29" w:rsidTr="00737557">
        <w:trPr>
          <w:trHeight w:val="397"/>
          <w:jc w:val="center"/>
        </w:trPr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</w:t>
            </w:r>
            <w:r w:rsidR="004608C5" w:rsidRPr="004608C5">
              <w:t>o</w:t>
            </w:r>
            <w:r w:rsidR="004608C5" w:rsidRPr="004608C5">
              <w:t>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</w:t>
            </w:r>
            <w:r w:rsidRPr="00C127F1">
              <w:lastRenderedPageBreak/>
              <w:t xml:space="preserve">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556787" w:rsidRDefault="00760232" w:rsidP="00737557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>ru i wykazanie, że jest ona równa ciężarowi wypartej cieczy, korzystając z opisów d</w:t>
            </w:r>
            <w:r w:rsidRPr="00C127F1">
              <w:t>o</w:t>
            </w:r>
            <w:r w:rsidRPr="00C127F1">
              <w:t>świadczeń i przestrzegając zasad bezpi</w:t>
            </w:r>
            <w:r w:rsidRPr="00C127F1">
              <w:t>e</w:t>
            </w:r>
            <w:r w:rsidRPr="00C127F1">
              <w:t>czeństwa; zapisuje wynik pomiaru wraz z jego jednostką oraz z uwzględnieniem i</w:t>
            </w:r>
            <w:r w:rsidRPr="00C127F1">
              <w:t>n</w:t>
            </w:r>
            <w:r w:rsidRPr="00C127F1">
              <w:t>formacji o niepewności; wyciąga wnioski</w:t>
            </w:r>
            <w:r w:rsidR="00556787">
              <w:t xml:space="preserve"> i formułuje prawo Archimedesa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</w:t>
            </w:r>
            <w:r w:rsidRPr="00C127F1">
              <w:lastRenderedPageBreak/>
              <w:t xml:space="preserve">przeprowadza obliczenia i zapisuje wynik </w:t>
            </w:r>
            <w:r w:rsidR="004608C5" w:rsidRPr="004608C5">
              <w:t>zaokrąglony do zadanej liczby cyfr znacz</w:t>
            </w:r>
            <w:r w:rsidR="004608C5" w:rsidRPr="004608C5">
              <w:t>ą</w:t>
            </w:r>
            <w:r w:rsidR="004608C5" w:rsidRPr="004608C5">
              <w:t>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37557" w:rsidRPr="00AA0C29" w:rsidTr="00737557">
        <w:trPr>
          <w:trHeight w:val="107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7557" w:rsidRPr="00737557" w:rsidRDefault="00737557" w:rsidP="00737557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nia o wysokim stopniu trudności.</w:t>
            </w:r>
          </w:p>
        </w:tc>
      </w:tr>
      <w:tr w:rsidR="00737557" w:rsidTr="00737557">
        <w:trPr>
          <w:trHeight w:val="106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6E5" w:rsidRDefault="00A726E5" w:rsidP="00A726E5">
            <w:pPr>
              <w:pStyle w:val="tabeladzialtabela"/>
              <w:rPr>
                <w:b/>
              </w:rPr>
            </w:pPr>
          </w:p>
          <w:p w:rsidR="00737557" w:rsidRPr="0011106B" w:rsidRDefault="00737557" w:rsidP="00A726E5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IV. KINEMATYKA</w:t>
            </w:r>
          </w:p>
        </w:tc>
      </w:tr>
      <w:tr w:rsidR="009C60D0" w:rsidRPr="00AA0C29" w:rsidTr="00737557">
        <w:trPr>
          <w:trHeight w:val="397"/>
          <w:jc w:val="center"/>
        </w:trPr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odczytuje przyspieszenie i prędkość z wykresów zależności przyspieszenia </w:t>
            </w:r>
            <w:r w:rsidRPr="00C127F1">
              <w:lastRenderedPageBreak/>
              <w:t>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lastRenderedPageBreak/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29347CA" wp14:editId="3735CA74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</w:t>
            </w:r>
            <w:r w:rsidRPr="0011106B">
              <w:t>o</w:t>
            </w:r>
            <w:r w:rsidRPr="0011106B">
              <w:t>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5A49537" wp14:editId="35FD26FD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lastRenderedPageBreak/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54A6D771" wp14:editId="1FA3F653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702D93AF" wp14:editId="1F878FFF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A726E5" w:rsidRPr="00AA0C29" w:rsidTr="00A726E5">
        <w:trPr>
          <w:trHeight w:val="107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A726E5" w:rsidRPr="00A726E5" w:rsidRDefault="00A726E5" w:rsidP="00A726E5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zadania o wysokim stopniu trudności.</w:t>
            </w:r>
          </w:p>
        </w:tc>
      </w:tr>
      <w:tr w:rsidR="00A726E5" w:rsidTr="00737557">
        <w:trPr>
          <w:trHeight w:val="106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A726E5" w:rsidRDefault="00A726E5" w:rsidP="00791A66">
            <w:pPr>
              <w:pStyle w:val="tabeladzialtabela"/>
              <w:rPr>
                <w:b/>
              </w:rPr>
            </w:pPr>
          </w:p>
          <w:p w:rsidR="00A726E5" w:rsidRPr="0011106B" w:rsidRDefault="00A726E5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A0C29" w:rsidTr="00737557">
        <w:trPr>
          <w:trHeight w:val="397"/>
          <w:jc w:val="center"/>
        </w:trPr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</w:t>
            </w:r>
            <w:r w:rsidRPr="00C127F1">
              <w:t>e</w:t>
            </w:r>
            <w:r w:rsidRPr="00C127F1">
              <w:t>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</w:t>
            </w:r>
            <w:r w:rsidRPr="00C127F1">
              <w:t>e</w:t>
            </w:r>
            <w:r w:rsidRPr="00C127F1">
              <w:t>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lastRenderedPageBreak/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 xml:space="preserve">dane oraz wymienia sposoby zmniejszania lub </w:t>
            </w:r>
            <w:r w:rsidRPr="00C127F1">
              <w:lastRenderedPageBreak/>
              <w:t>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</w:t>
            </w:r>
            <w:r w:rsidR="00CE3543" w:rsidRPr="00CE3543">
              <w:t>a</w:t>
            </w:r>
            <w:r w:rsidR="00CE3543" w:rsidRPr="00CE3543">
              <w:t>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 xml:space="preserve">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</w:t>
            </w:r>
            <w:r w:rsidR="00CE3543" w:rsidRPr="00CE3543">
              <w:t>a</w:t>
            </w:r>
            <w:r w:rsidR="00CE3543" w:rsidRPr="00CE3543">
              <w:t>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4ED5C42D" wp14:editId="79D3C9DC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A726E5" w:rsidRPr="00AA0C29" w:rsidTr="00A726E5">
        <w:trPr>
          <w:trHeight w:val="107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A726E5" w:rsidRDefault="00A726E5" w:rsidP="00A726E5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zadania o wysokim stopniu trudności.</w:t>
            </w:r>
          </w:p>
          <w:p w:rsidR="00A726E5" w:rsidRPr="00A726E5" w:rsidRDefault="00A726E5" w:rsidP="00A726E5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A726E5" w:rsidTr="00737557">
        <w:trPr>
          <w:trHeight w:val="106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A726E5" w:rsidRDefault="00A726E5" w:rsidP="00791A66">
            <w:pPr>
              <w:pStyle w:val="tabeladzialtabela"/>
              <w:spacing w:after="11"/>
              <w:rPr>
                <w:b/>
              </w:rPr>
            </w:pPr>
          </w:p>
          <w:p w:rsidR="00A726E5" w:rsidRPr="0011106B" w:rsidRDefault="00A726E5" w:rsidP="00791A66">
            <w:pPr>
              <w:pStyle w:val="tabeladzialtabela"/>
              <w:spacing w:after="11"/>
              <w:rPr>
                <w:b/>
              </w:rPr>
            </w:pPr>
            <w:r w:rsidRPr="0011106B">
              <w:rPr>
                <w:b/>
              </w:rPr>
              <w:t>VI. PRACA, MOC, ENERGIA</w:t>
            </w:r>
          </w:p>
        </w:tc>
      </w:tr>
      <w:tr w:rsidR="009C60D0" w:rsidRPr="00AA0C29" w:rsidTr="00737557">
        <w:trPr>
          <w:trHeight w:val="397"/>
          <w:jc w:val="center"/>
        </w:trPr>
        <w:tc>
          <w:tcPr>
            <w:tcW w:w="3436" w:type="dxa"/>
            <w:shd w:val="clear" w:color="auto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odróżnia pracę w sensie fizycznym od pracy w języku potocznym; wskazuje przykłady </w:t>
            </w:r>
            <w:r w:rsidRPr="00C127F1">
              <w:lastRenderedPageBreak/>
              <w:t>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lastRenderedPageBreak/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clear" w:color="auto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8329FD0" wp14:editId="6929BAD6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lastRenderedPageBreak/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clear" w:color="auto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lastRenderedPageBreak/>
              <w:t> 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</w:t>
            </w:r>
            <w:proofErr w:type="spellEnd"/>
            <w:r w:rsidRPr="0011106B">
              <w:t>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00F1A081" wp14:editId="50A71289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clear" w:color="auto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 xml:space="preserve">geometryczną interpretację pracy) </w:t>
            </w:r>
            <w:r w:rsidRPr="00C127F1">
              <w:lastRenderedPageBreak/>
              <w:t>oraz mocy;</w:t>
            </w:r>
          </w:p>
          <w:p w:rsidR="00791A66" w:rsidRPr="00C127F1" w:rsidRDefault="00791A66" w:rsidP="00DD7B4E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  <w:r w:rsidR="00DD7B4E">
              <w:t xml:space="preserve"> </w:t>
            </w:r>
            <w:r w:rsidRPr="00C127F1">
              <w:t>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A726E5" w:rsidRPr="00AA0C29" w:rsidTr="00A726E5">
        <w:trPr>
          <w:trHeight w:val="107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A726E5" w:rsidRPr="00737557" w:rsidRDefault="00A726E5" w:rsidP="00A726E5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zadania o wysokim stopniu trudności.</w:t>
            </w:r>
          </w:p>
          <w:p w:rsidR="00A726E5" w:rsidRDefault="00A726E5" w:rsidP="00A726E5">
            <w:pPr>
              <w:pStyle w:val="tabeladzialtabela"/>
              <w:jc w:val="left"/>
            </w:pPr>
          </w:p>
        </w:tc>
      </w:tr>
      <w:tr w:rsidR="00A726E5" w:rsidTr="00737557">
        <w:trPr>
          <w:trHeight w:val="106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A726E5" w:rsidRDefault="00A726E5" w:rsidP="00791A66">
            <w:pPr>
              <w:pStyle w:val="tabeladzialtabela"/>
              <w:rPr>
                <w:b/>
              </w:rPr>
            </w:pPr>
          </w:p>
          <w:p w:rsidR="00A726E5" w:rsidRPr="0011106B" w:rsidRDefault="00A726E5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VII. TERMODYNAMIKA</w:t>
            </w:r>
          </w:p>
        </w:tc>
      </w:tr>
      <w:tr w:rsidR="009C60D0" w:rsidRPr="00AA0C29" w:rsidTr="00737557">
        <w:trPr>
          <w:trHeight w:val="397"/>
          <w:jc w:val="center"/>
        </w:trPr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lastRenderedPageBreak/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</w:t>
            </w:r>
            <w:r w:rsidRPr="00C127F1">
              <w:lastRenderedPageBreak/>
              <w:t xml:space="preserve">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lastRenderedPageBreak/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5915A2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  <w:r w:rsidR="005915A2">
              <w:t xml:space="preserve"> </w:t>
            </w:r>
            <w:r w:rsidRPr="00C127F1">
              <w:t>korzystając z opisów doświadczeń i przestrzegając zasad bezpi</w:t>
            </w:r>
            <w:r w:rsidRPr="00C127F1">
              <w:t>e</w:t>
            </w:r>
            <w:r w:rsidRPr="00C127F1">
              <w:t>czeństwa; zapisuje wyniki i formułuje wni</w:t>
            </w:r>
            <w:r w:rsidRPr="00C127F1">
              <w:t>o</w:t>
            </w:r>
            <w:r w:rsidRPr="00C127F1">
              <w:t xml:space="preserve">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F666B47" wp14:editId="672E46FA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7565C9E5" wp14:editId="5CFF57AB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4AD3102A" wp14:editId="1E1FFB51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>); wyk</w:t>
            </w:r>
            <w:r w:rsidRPr="00C127F1">
              <w:t>o</w:t>
            </w:r>
            <w:r w:rsidRPr="00C127F1">
              <w:lastRenderedPageBreak/>
              <w:t xml:space="preserve">nuje obliczenia i zapisuje wynik </w:t>
            </w:r>
            <w:r w:rsidR="00CE3543" w:rsidRPr="00CE3543">
              <w:t>zaokrąglony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lastRenderedPageBreak/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</w:t>
            </w:r>
            <w:r w:rsidRPr="00C127F1">
              <w:lastRenderedPageBreak/>
              <w:t>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</w:t>
            </w:r>
            <w:r w:rsidRPr="00C127F1">
              <w:t>z</w:t>
            </w:r>
            <w:r w:rsidRPr="00C127F1">
              <w:t>nej; szacuje rząd wielkości spodziewan</w:t>
            </w:r>
            <w:r w:rsidRPr="00C127F1">
              <w:t>e</w:t>
            </w:r>
            <w:r w:rsidRPr="00C127F1">
              <w:t>go wyniku i na tej podstawie ocenia w</w:t>
            </w:r>
            <w:r w:rsidRPr="00C127F1">
              <w:t>y</w:t>
            </w:r>
            <w:r w:rsidRPr="00C127F1">
              <w:t>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lastRenderedPageBreak/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A726E5" w:rsidRPr="00AA0C29" w:rsidTr="00DD7B4E">
        <w:trPr>
          <w:trHeight w:val="397"/>
          <w:jc w:val="center"/>
        </w:trPr>
        <w:tc>
          <w:tcPr>
            <w:tcW w:w="13731" w:type="dxa"/>
            <w:gridSpan w:val="4"/>
            <w:shd w:val="clear" w:color="auto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726E5" w:rsidRPr="00737557" w:rsidRDefault="00A726E5" w:rsidP="00A726E5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37557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lastRenderedPageBreak/>
              <w:t>Ocenę celującą</w:t>
            </w:r>
            <w:r w:rsidRPr="007375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otrzymuje uczeń, który opanował wszystkie treści z podstawy programowej oraz rozwiązuje zadania o wysokim stopniu trudności.</w:t>
            </w:r>
          </w:p>
          <w:p w:rsidR="00A726E5" w:rsidRPr="00C127F1" w:rsidRDefault="00A726E5" w:rsidP="00791A66">
            <w:pPr>
              <w:pStyle w:val="tabelatresctabela"/>
            </w:pPr>
          </w:p>
        </w:tc>
      </w:tr>
    </w:tbl>
    <w:p w:rsidR="00512715" w:rsidRPr="00AA0C29" w:rsidRDefault="0051271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512715" w:rsidRPr="00AA0C29" w:rsidSect="00E35AE6">
      <w:headerReference w:type="default" r:id="rId1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FD" w:rsidRDefault="00CD28FD" w:rsidP="00BD0596">
      <w:r>
        <w:separator/>
      </w:r>
    </w:p>
  </w:endnote>
  <w:endnote w:type="continuationSeparator" w:id="0">
    <w:p w:rsidR="00CD28FD" w:rsidRDefault="00CD28FD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FD" w:rsidRDefault="00CD28FD" w:rsidP="00BD0596">
      <w:r>
        <w:separator/>
      </w:r>
    </w:p>
  </w:footnote>
  <w:footnote w:type="continuationSeparator" w:id="0">
    <w:p w:rsidR="00CD28FD" w:rsidRDefault="00CD28FD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4E" w:rsidRDefault="00DD7B4E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DD7B4E" w:rsidRPr="00A65C11" w:rsidRDefault="00DD7B4E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C29" w:rsidRPr="00AA0C29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15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DD7B4E" w:rsidRPr="00A65C11" w:rsidRDefault="00DD7B4E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AA0C29" w:rsidRPr="00AA0C29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15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7B4E" w:rsidRDefault="00DD7B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00971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4E076F"/>
    <w:rsid w:val="00512715"/>
    <w:rsid w:val="005222FB"/>
    <w:rsid w:val="00556787"/>
    <w:rsid w:val="005915A2"/>
    <w:rsid w:val="005C0F60"/>
    <w:rsid w:val="005C330A"/>
    <w:rsid w:val="005E72D7"/>
    <w:rsid w:val="0060697A"/>
    <w:rsid w:val="006233D8"/>
    <w:rsid w:val="00737557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726E5"/>
    <w:rsid w:val="00A948B5"/>
    <w:rsid w:val="00AA0C29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D28FD"/>
    <w:rsid w:val="00CE3543"/>
    <w:rsid w:val="00D3238A"/>
    <w:rsid w:val="00D4158A"/>
    <w:rsid w:val="00D66680"/>
    <w:rsid w:val="00DD7B4E"/>
    <w:rsid w:val="00E00790"/>
    <w:rsid w:val="00E35AE6"/>
    <w:rsid w:val="00EC39F0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4D9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11B4-E7BA-4C34-9181-D477937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5918</Words>
  <Characters>40599</Characters>
  <Application>Microsoft Office Word</Application>
  <DocSecurity>0</DocSecurity>
  <Lines>338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Użytkownik</cp:lastModifiedBy>
  <cp:revision>7</cp:revision>
  <dcterms:created xsi:type="dcterms:W3CDTF">2024-09-05T19:48:00Z</dcterms:created>
  <dcterms:modified xsi:type="dcterms:W3CDTF">2024-09-05T21:31:00Z</dcterms:modified>
</cp:coreProperties>
</file>