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51E5" w:rsidRDefault="002A51E5" w:rsidP="00737188">
      <w:pPr>
        <w:spacing w:after="0"/>
        <w:rPr>
          <w:rStyle w:val="ui-provider"/>
          <w:rFonts w:cs="Calibri"/>
          <w:b/>
        </w:rPr>
      </w:pPr>
      <w:bookmarkStart w:id="0" w:name="_Hlk172842122"/>
      <w:bookmarkStart w:id="1" w:name="_GoBack"/>
      <w:bookmarkEnd w:id="1"/>
      <w:r w:rsidRPr="002A51E5">
        <w:rPr>
          <w:rStyle w:val="ui-provider"/>
          <w:rFonts w:cs="Calibri"/>
          <w:b/>
        </w:rPr>
        <w:t>Śródroczne wymagania edukacyjne z historii klasa 4</w:t>
      </w:r>
    </w:p>
    <w:p w:rsidR="002A51E5" w:rsidRPr="002A51E5" w:rsidRDefault="002A51E5" w:rsidP="00737188">
      <w:pPr>
        <w:spacing w:after="0"/>
        <w:rPr>
          <w:rStyle w:val="ui-provider"/>
          <w:rFonts w:cs="Calibri"/>
          <w:b/>
        </w:rPr>
      </w:pPr>
    </w:p>
    <w:p w:rsidR="00737188" w:rsidRPr="006C4C3B" w:rsidRDefault="00737188" w:rsidP="00737188">
      <w:pPr>
        <w:spacing w:after="0"/>
        <w:rPr>
          <w:rFonts w:cs="Calibri"/>
        </w:rPr>
      </w:pPr>
      <w:r w:rsidRPr="006C4C3B">
        <w:rPr>
          <w:rStyle w:val="ui-provider"/>
          <w:rFonts w:cs="Calibri"/>
        </w:rPr>
        <w:t xml:space="preserve">Wymagania na oceny uwzględniają zapisy podstawy programowej </w:t>
      </w:r>
      <w:r>
        <w:t>ogłoszonej rozporządzeniem</w:t>
      </w:r>
      <w:r w:rsidRPr="00656CC6">
        <w:t xml:space="preserve"> Ministra Edukacji z dnia 11 marca 2026 r.</w:t>
      </w:r>
      <w:r>
        <w:t xml:space="preserve"> </w:t>
      </w:r>
      <w:r w:rsidRPr="001851BB">
        <w:t>w sprawie podstawy programowej wychowania przedszkolnego oraz podstawy programowej kształcenia ogólnego dla szkoły podstawowej</w:t>
      </w:r>
      <w:r>
        <w:t>.</w:t>
      </w:r>
    </w:p>
    <w:bookmarkEnd w:id="0"/>
    <w:p w:rsidR="00737188" w:rsidRDefault="00737188" w:rsidP="00737188">
      <w:pPr>
        <w:spacing w:after="0"/>
      </w:pPr>
    </w:p>
    <w:p w:rsidR="00737188" w:rsidRDefault="00737188" w:rsidP="00737188">
      <w:pPr>
        <w:spacing w:after="0"/>
      </w:pPr>
      <w:r w:rsidRPr="00925DFE">
        <w:t>Na końcu dokumentu przedstawiono propozycje oceniania</w:t>
      </w:r>
      <w:r>
        <w:t xml:space="preserve"> </w:t>
      </w:r>
      <w:r w:rsidRPr="007E1BC1">
        <w:rPr>
          <w:b/>
          <w:bCs/>
        </w:rPr>
        <w:t>doświadcze</w:t>
      </w:r>
      <w:r>
        <w:rPr>
          <w:b/>
          <w:bCs/>
        </w:rPr>
        <w:t>ń</w:t>
      </w:r>
      <w:r w:rsidRPr="007E1BC1">
        <w:rPr>
          <w:b/>
          <w:bCs/>
        </w:rPr>
        <w:t xml:space="preserve"> edukacyjn</w:t>
      </w:r>
      <w:r>
        <w:rPr>
          <w:b/>
          <w:bCs/>
        </w:rPr>
        <w:t>ych</w:t>
      </w:r>
      <w:r w:rsidRPr="007E1BC1">
        <w:t>, o których realizacji decyduje nauczyciel</w:t>
      </w:r>
      <w:r>
        <w:t xml:space="preserve">. </w:t>
      </w:r>
      <w:r w:rsidRPr="0091017C">
        <w:t>Doświadczenia edukacyjne mają charakter praktyczny, wzmacniają kompetencje fundamentalne i przekrojowe oraz rozwijają umiejętności komunikacyjne i współpracę. Doświadczenia edukacyjne są podzielone na indywidualne i grupowe. Nauczyciel wraz z uczniami wybiera co najmniej jedno doświadczenie edukacyjne do realizacji w każdym roku nauki.</w:t>
      </w:r>
    </w:p>
    <w:p w:rsidR="00737188" w:rsidRPr="002627BB" w:rsidRDefault="00737188" w:rsidP="00737188">
      <w:pPr>
        <w:spacing w:after="0"/>
        <w:rPr>
          <w:rFonts w:cs="Calibri"/>
          <w:sz w:val="20"/>
          <w:szCs w:val="20"/>
        </w:rPr>
      </w:pPr>
    </w:p>
    <w:tbl>
      <w:tblPr>
        <w:tblW w:w="14655" w:type="dxa"/>
        <w:tblInd w:w="-48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0"/>
        <w:gridCol w:w="2159"/>
        <w:gridCol w:w="2268"/>
        <w:gridCol w:w="2126"/>
        <w:gridCol w:w="284"/>
        <w:gridCol w:w="2126"/>
        <w:gridCol w:w="2126"/>
        <w:gridCol w:w="2126"/>
      </w:tblGrid>
      <w:tr w:rsidR="00737188" w:rsidRPr="002627BB" w:rsidTr="00B2370A">
        <w:trPr>
          <w:trHeight w:val="345"/>
        </w:trPr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EAAAA"/>
            <w:vAlign w:val="center"/>
            <w:hideMark/>
          </w:tcPr>
          <w:p w:rsidR="00737188" w:rsidRPr="002627BB" w:rsidRDefault="00737188" w:rsidP="00B2370A">
            <w:pPr>
              <w:snapToGrid w:val="0"/>
              <w:spacing w:after="0"/>
              <w:jc w:val="center"/>
              <w:rPr>
                <w:b/>
                <w:sz w:val="20"/>
                <w:szCs w:val="20"/>
              </w:rPr>
            </w:pPr>
            <w:r w:rsidRPr="002627BB">
              <w:rPr>
                <w:b/>
                <w:sz w:val="20"/>
                <w:szCs w:val="20"/>
              </w:rPr>
              <w:t>Temat lekcji</w:t>
            </w:r>
          </w:p>
        </w:tc>
        <w:tc>
          <w:tcPr>
            <w:tcW w:w="21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EAAAA"/>
            <w:vAlign w:val="center"/>
            <w:hideMark/>
          </w:tcPr>
          <w:p w:rsidR="00737188" w:rsidRPr="00FC7989" w:rsidRDefault="00737188" w:rsidP="00B2370A">
            <w:pPr>
              <w:snapToGrid w:val="0"/>
              <w:spacing w:after="0"/>
              <w:jc w:val="center"/>
              <w:rPr>
                <w:b/>
                <w:sz w:val="20"/>
                <w:szCs w:val="20"/>
              </w:rPr>
            </w:pPr>
            <w:r w:rsidRPr="00FC7989">
              <w:rPr>
                <w:b/>
                <w:sz w:val="20"/>
                <w:szCs w:val="20"/>
              </w:rPr>
              <w:t>Zagadnienia</w:t>
            </w:r>
          </w:p>
        </w:tc>
        <w:tc>
          <w:tcPr>
            <w:tcW w:w="110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  <w:vAlign w:val="center"/>
            <w:hideMark/>
          </w:tcPr>
          <w:p w:rsidR="00737188" w:rsidRPr="002627BB" w:rsidRDefault="00737188" w:rsidP="00B2370A">
            <w:pPr>
              <w:tabs>
                <w:tab w:val="left" w:pos="2198"/>
                <w:tab w:val="left" w:pos="2623"/>
              </w:tabs>
              <w:snapToGrid w:val="0"/>
              <w:spacing w:after="0"/>
              <w:ind w:left="922" w:hanging="213"/>
              <w:jc w:val="center"/>
              <w:rPr>
                <w:b/>
                <w:sz w:val="20"/>
                <w:szCs w:val="20"/>
              </w:rPr>
            </w:pPr>
            <w:r w:rsidRPr="002627BB">
              <w:rPr>
                <w:b/>
                <w:sz w:val="20"/>
                <w:szCs w:val="20"/>
              </w:rPr>
              <w:t>Wymagania na poszczególne oceny</w:t>
            </w:r>
          </w:p>
        </w:tc>
      </w:tr>
      <w:tr w:rsidR="00737188" w:rsidRPr="002627BB" w:rsidTr="00B2370A">
        <w:trPr>
          <w:trHeight w:val="465"/>
        </w:trPr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EAAAA"/>
            <w:vAlign w:val="center"/>
            <w:hideMark/>
          </w:tcPr>
          <w:p w:rsidR="00737188" w:rsidRPr="002627BB" w:rsidRDefault="00737188" w:rsidP="00B2370A">
            <w:pPr>
              <w:spacing w:after="0"/>
              <w:jc w:val="center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2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EAAAA"/>
            <w:vAlign w:val="center"/>
            <w:hideMark/>
          </w:tcPr>
          <w:p w:rsidR="00737188" w:rsidRPr="00FC7989" w:rsidRDefault="00737188" w:rsidP="00B2370A">
            <w:pPr>
              <w:spacing w:after="0"/>
              <w:jc w:val="center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EAAAA"/>
            <w:vAlign w:val="center"/>
            <w:hideMark/>
          </w:tcPr>
          <w:p w:rsidR="00737188" w:rsidRPr="002627BB" w:rsidRDefault="00737188" w:rsidP="00B2370A">
            <w:pPr>
              <w:snapToGrid w:val="0"/>
              <w:spacing w:after="0"/>
              <w:jc w:val="center"/>
              <w:rPr>
                <w:b/>
                <w:sz w:val="20"/>
                <w:szCs w:val="20"/>
              </w:rPr>
            </w:pPr>
            <w:r w:rsidRPr="002627BB">
              <w:rPr>
                <w:b/>
                <w:sz w:val="20"/>
                <w:szCs w:val="20"/>
              </w:rPr>
              <w:t>dopuszczająca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EAAAA"/>
            <w:vAlign w:val="center"/>
            <w:hideMark/>
          </w:tcPr>
          <w:p w:rsidR="00737188" w:rsidRPr="002627BB" w:rsidRDefault="00737188" w:rsidP="00B2370A">
            <w:pPr>
              <w:snapToGrid w:val="0"/>
              <w:spacing w:after="0"/>
              <w:jc w:val="center"/>
              <w:rPr>
                <w:b/>
                <w:sz w:val="20"/>
                <w:szCs w:val="20"/>
              </w:rPr>
            </w:pPr>
            <w:r w:rsidRPr="002627BB">
              <w:rPr>
                <w:b/>
                <w:sz w:val="20"/>
                <w:szCs w:val="20"/>
              </w:rPr>
              <w:t>dostateczna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EAAAA"/>
            <w:vAlign w:val="center"/>
            <w:hideMark/>
          </w:tcPr>
          <w:p w:rsidR="00737188" w:rsidRPr="002627BB" w:rsidRDefault="00737188" w:rsidP="00B2370A">
            <w:pPr>
              <w:snapToGrid w:val="0"/>
              <w:spacing w:after="0"/>
              <w:jc w:val="center"/>
              <w:rPr>
                <w:b/>
                <w:sz w:val="20"/>
                <w:szCs w:val="20"/>
              </w:rPr>
            </w:pPr>
            <w:r w:rsidRPr="002627BB">
              <w:rPr>
                <w:b/>
                <w:sz w:val="20"/>
                <w:szCs w:val="20"/>
              </w:rPr>
              <w:t>dobra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EAAAA"/>
            <w:vAlign w:val="center"/>
            <w:hideMark/>
          </w:tcPr>
          <w:p w:rsidR="00737188" w:rsidRPr="002627BB" w:rsidRDefault="00737188" w:rsidP="00B2370A">
            <w:pPr>
              <w:snapToGrid w:val="0"/>
              <w:spacing w:after="0"/>
              <w:jc w:val="center"/>
              <w:rPr>
                <w:b/>
                <w:sz w:val="20"/>
                <w:szCs w:val="20"/>
              </w:rPr>
            </w:pPr>
            <w:r w:rsidRPr="002627BB">
              <w:rPr>
                <w:b/>
                <w:sz w:val="20"/>
                <w:szCs w:val="20"/>
              </w:rPr>
              <w:t>bardzo dobra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  <w:vAlign w:val="center"/>
            <w:hideMark/>
          </w:tcPr>
          <w:p w:rsidR="00737188" w:rsidRPr="002627BB" w:rsidRDefault="00737188" w:rsidP="00B2370A">
            <w:pPr>
              <w:snapToGrid w:val="0"/>
              <w:spacing w:after="0"/>
              <w:jc w:val="center"/>
              <w:rPr>
                <w:b/>
                <w:sz w:val="20"/>
                <w:szCs w:val="20"/>
              </w:rPr>
            </w:pPr>
            <w:r w:rsidRPr="002627BB">
              <w:rPr>
                <w:b/>
                <w:sz w:val="20"/>
                <w:szCs w:val="20"/>
              </w:rPr>
              <w:t>celująca</w:t>
            </w:r>
          </w:p>
        </w:tc>
      </w:tr>
      <w:tr w:rsidR="00737188" w:rsidRPr="002627BB" w:rsidTr="00B2370A">
        <w:trPr>
          <w:trHeight w:val="465"/>
        </w:trPr>
        <w:tc>
          <w:tcPr>
            <w:tcW w:w="1465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737188" w:rsidRPr="00AF1BE0" w:rsidRDefault="00737188" w:rsidP="00B2370A">
            <w:pPr>
              <w:snapToGrid w:val="0"/>
              <w:spacing w:after="0"/>
              <w:jc w:val="center"/>
              <w:rPr>
                <w:b/>
              </w:rPr>
            </w:pPr>
            <w:r w:rsidRPr="00AF1BE0">
              <w:rPr>
                <w:b/>
              </w:rPr>
              <w:t xml:space="preserve">Rozdział </w:t>
            </w:r>
            <w:r>
              <w:rPr>
                <w:b/>
              </w:rPr>
              <w:t>I</w:t>
            </w:r>
            <w:r w:rsidRPr="00AF1BE0">
              <w:rPr>
                <w:b/>
              </w:rPr>
              <w:t>. Z historią na Ty</w:t>
            </w:r>
          </w:p>
        </w:tc>
      </w:tr>
      <w:tr w:rsidR="00737188" w:rsidRPr="00AA36C3" w:rsidTr="00B2370A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188" w:rsidRPr="00BF0799" w:rsidRDefault="00737188" w:rsidP="00B2370A">
            <w:pPr>
              <w:spacing w:before="40" w:after="40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1. Pierwsza lekcja historii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6" w:hanging="176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różne znaczenia słowa historia (opowieść, przeszłość, nauka)</w:t>
            </w:r>
          </w:p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historia jako nauka o przeszłości</w:t>
            </w:r>
          </w:p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historia a baśnie i legendy</w:t>
            </w:r>
          </w:p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dlaczego warto uczyć się historii i czego uczymy się na historii,</w:t>
            </w:r>
          </w:p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znaczenie pojęć: przeszłość, baśń, legenda, historia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6" w:hanging="176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z pomocą nauczyciela posługuje się pojęciami: historia, przeszłość</w:t>
            </w:r>
          </w:p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odróżnia przeszłość od współczesności</w:t>
            </w:r>
          </w:p>
          <w:p w:rsidR="00737188" w:rsidRPr="000E35E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potrafi krótko scharakte</w:t>
            </w:r>
            <w:r w:rsidRPr="00BF0799">
              <w:rPr>
                <w:rFonts w:cs="Calibri"/>
                <w:sz w:val="20"/>
                <w:szCs w:val="20"/>
              </w:rPr>
              <w:softHyphen/>
              <w:t>ryzować, czym są baśnie i legendy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6" w:hanging="176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poprawnie posługuje się pojęciami: historia, baśń, legenda</w:t>
            </w:r>
          </w:p>
          <w:p w:rsidR="00737188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podaje przykłady postaci legendarnych i histo</w:t>
            </w:r>
            <w:r w:rsidRPr="00BF0799">
              <w:rPr>
                <w:rFonts w:cs="Calibri"/>
                <w:sz w:val="20"/>
                <w:szCs w:val="20"/>
              </w:rPr>
              <w:softHyphen/>
              <w:t xml:space="preserve">rycznych </w:t>
            </w:r>
          </w:p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przedstawia, czym zajmują się historycy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6" w:hanging="176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wyjaśnia, czym jest historia i dlaczego ją poznajemy</w:t>
            </w:r>
          </w:p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potrafi wskazać elementy prawdziwe i fikcyjne w opowieściach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6" w:hanging="176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wyjaśnia znaczenie uczenia się historii dla współczesnego życia</w:t>
            </w:r>
          </w:p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samodzielnie odróżnia historię od fikcji literackiej</w:t>
            </w:r>
          </w:p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podaje przykłady legend i baśni oraz wskazuje ich cechy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6" w:hanging="176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samodzielnie i trafnie analizuje różnice między historią, legendą a fikcją literacką</w:t>
            </w:r>
          </w:p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porównuje różne formy przekazywania wiedzy o przeszłości (historia, opowieści, legendy)</w:t>
            </w:r>
          </w:p>
          <w:p w:rsidR="00737188" w:rsidRPr="00BF0799" w:rsidRDefault="00737188" w:rsidP="00B2370A">
            <w:pPr>
              <w:spacing w:before="40" w:after="40"/>
              <w:rPr>
                <w:rFonts w:cs="Calibri"/>
                <w:sz w:val="20"/>
                <w:szCs w:val="20"/>
              </w:rPr>
            </w:pPr>
          </w:p>
        </w:tc>
      </w:tr>
      <w:tr w:rsidR="00737188" w:rsidRPr="00AA36C3" w:rsidTr="00B2370A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188" w:rsidRPr="00BF0799" w:rsidRDefault="00737188" w:rsidP="00B2370A">
            <w:pPr>
              <w:spacing w:before="40" w:after="40"/>
              <w:rPr>
                <w:rFonts w:cs="Calibri"/>
                <w:color w:val="FF0000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lastRenderedPageBreak/>
              <w:t xml:space="preserve">2. Historia – nauka o przeszłości </w:t>
            </w:r>
          </w:p>
          <w:p w:rsidR="00737188" w:rsidRPr="00BF0799" w:rsidRDefault="00737188" w:rsidP="00B2370A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6" w:hanging="176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źródła historyczne, ich przykłady oraz podział</w:t>
            </w:r>
          </w:p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historia a archeologia</w:t>
            </w:r>
          </w:p>
          <w:p w:rsidR="00737188" w:rsidRPr="00BF0799" w:rsidRDefault="00737188" w:rsidP="00737188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40" w:after="40" w:line="240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metody badania wiarygodności źródeł</w:t>
            </w:r>
          </w:p>
          <w:p w:rsidR="00737188" w:rsidRPr="00BF0799" w:rsidRDefault="00737188" w:rsidP="00737188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40" w:after="40" w:line="240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związki przyczynowo-skutkowe</w:t>
            </w:r>
          </w:p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znaczenie pojęć: źródło historyczne, archeologia, przyczyna, skutek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6" w:hanging="176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z pomocą nauczyciela posługuje się pojęciami: archeologia, źródła historyczne</w:t>
            </w:r>
          </w:p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rozumie, że źródła nie zawsze mówią prawdę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rozróżnia pracę historyków i archeologów</w:t>
            </w:r>
          </w:p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wyjaśnia, czym są przyczyny i skutki</w:t>
            </w:r>
          </w:p>
          <w:p w:rsidR="00737188" w:rsidRPr="000E35E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dokonuje podstawowego podziału źródeł historycznych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6" w:hanging="176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rozumie różnicę między historią a</w:t>
            </w:r>
            <w:r>
              <w:rPr>
                <w:rFonts w:cs="Calibri"/>
                <w:sz w:val="20"/>
                <w:szCs w:val="20"/>
              </w:rPr>
              <w:t> </w:t>
            </w:r>
            <w:r w:rsidRPr="00BF0799">
              <w:rPr>
                <w:rFonts w:cs="Calibri"/>
                <w:sz w:val="20"/>
                <w:szCs w:val="20"/>
              </w:rPr>
              <w:t>archeologią</w:t>
            </w:r>
          </w:p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wskazuje różne przykłady materialnych źródeł pisanych i niepisanych</w:t>
            </w:r>
          </w:p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 xml:space="preserve">z pomocą nauczyciela ocenia, czy źródło jest </w:t>
            </w:r>
            <w:r>
              <w:rPr>
                <w:rFonts w:cs="Calibri"/>
                <w:sz w:val="20"/>
                <w:szCs w:val="20"/>
              </w:rPr>
              <w:t>wiarygodne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6" w:hanging="176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omawia rolę źródeł historycznych w procesie poznawania dziejów</w:t>
            </w:r>
          </w:p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dzieli źródła pisane i niepisane</w:t>
            </w:r>
            <w:r w:rsidRPr="00BF0799">
              <w:rPr>
                <w:rFonts w:cs="Calibri"/>
                <w:sz w:val="20"/>
                <w:szCs w:val="20"/>
              </w:rPr>
              <w:t xml:space="preserve"> na podkategorie</w:t>
            </w:r>
          </w:p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wyjaśnia, jak sprawdza się wiarygodność źródeł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6" w:hanging="176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samodzielnie ocenia wiarygodność źródła, uwzględniając autora oraz cel i kontekst historyczny jego powstania</w:t>
            </w:r>
          </w:p>
        </w:tc>
      </w:tr>
      <w:tr w:rsidR="00737188" w:rsidRPr="00AA36C3" w:rsidTr="00B2370A">
        <w:trPr>
          <w:trHeight w:val="85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188" w:rsidRPr="00BF0799" w:rsidRDefault="00737188" w:rsidP="00B2370A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 xml:space="preserve">3. Historia mojej rodziny </w:t>
            </w:r>
          </w:p>
          <w:p w:rsidR="00737188" w:rsidRPr="00BF0799" w:rsidRDefault="00737188" w:rsidP="00B2370A">
            <w:pPr>
              <w:autoSpaceDE w:val="0"/>
              <w:autoSpaceDN w:val="0"/>
              <w:adjustRightInd w:val="0"/>
              <w:spacing w:before="40" w:after="40" w:line="240" w:lineRule="auto"/>
              <w:ind w:firstLine="567"/>
              <w:rPr>
                <w:rFonts w:cs="Calibri"/>
                <w:color w:val="FF0000"/>
                <w:sz w:val="20"/>
                <w:szCs w:val="20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znaczenie pamiątek rodzinnych i opowieści jako źródeł do historii rodziny</w:t>
            </w:r>
          </w:p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drzewo genealogiczne jako sposób przedstawienia historii rodziny</w:t>
            </w:r>
          </w:p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tradycje rodzinne jako czynnik łączący członków rodziny</w:t>
            </w:r>
          </w:p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znaczenie pojęć: pamiątki rodzinne, krewni, pokolenie, genealogia, tradycja rodzinna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z pomocą nauczycie</w:t>
            </w:r>
            <w:r w:rsidRPr="00BF0799">
              <w:rPr>
                <w:rFonts w:cs="Calibri"/>
                <w:sz w:val="20"/>
                <w:szCs w:val="20"/>
              </w:rPr>
              <w:softHyphen/>
              <w:t>la poprawnie posługuje się pojęciami: pamiątki rodzinne, krewni, pokolenie</w:t>
            </w:r>
          </w:p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podaje przykłady pamiątek rodzinnych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poprawnie posługuje się pojęciami: drzewo genealogiczne, tradycja rodzinna</w:t>
            </w:r>
          </w:p>
          <w:p w:rsidR="00737188" w:rsidRPr="00BF0799" w:rsidRDefault="00737188" w:rsidP="00737188">
            <w:pPr>
              <w:pStyle w:val="Pa11"/>
              <w:numPr>
                <w:ilvl w:val="0"/>
                <w:numId w:val="1"/>
              </w:numPr>
              <w:spacing w:before="40" w:after="40"/>
              <w:ind w:left="147" w:hanging="144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z pomocą nauczyciela </w:t>
            </w:r>
            <w:r w:rsidRPr="00BF0799">
              <w:rPr>
                <w:rFonts w:ascii="Calibri" w:hAnsi="Calibri" w:cs="Calibri"/>
                <w:sz w:val="20"/>
                <w:szCs w:val="20"/>
              </w:rPr>
              <w:t>przygotowuje drzewo genealogiczne najbliższej rodziny lub wybranej postaci (historycznej lub literackiej)</w:t>
            </w:r>
          </w:p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podaje przykłady tradycji rodzinnych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poprawnie posługuje się pojęciem: genealogia</w:t>
            </w:r>
          </w:p>
          <w:p w:rsidR="00737188" w:rsidRPr="00BF0799" w:rsidRDefault="00737188" w:rsidP="00737188">
            <w:pPr>
              <w:pStyle w:val="Pa11"/>
              <w:numPr>
                <w:ilvl w:val="0"/>
                <w:numId w:val="1"/>
              </w:numPr>
              <w:spacing w:before="40" w:after="40"/>
              <w:ind w:left="147" w:hanging="144"/>
              <w:rPr>
                <w:rFonts w:ascii="Calibri" w:hAnsi="Calibri" w:cs="Calibri"/>
                <w:sz w:val="20"/>
                <w:szCs w:val="20"/>
              </w:rPr>
            </w:pPr>
            <w:r w:rsidRPr="00BF0799">
              <w:rPr>
                <w:rFonts w:ascii="Calibri" w:hAnsi="Calibri" w:cs="Calibri"/>
                <w:sz w:val="20"/>
                <w:szCs w:val="20"/>
              </w:rPr>
              <w:t>wyjaśnia znaczenie pamiątek rodzinnych dla zachowania historii rodziny</w:t>
            </w:r>
          </w:p>
          <w:p w:rsidR="00737188" w:rsidRPr="00BF0799" w:rsidRDefault="00737188" w:rsidP="00737188">
            <w:pPr>
              <w:pStyle w:val="Pa11"/>
              <w:numPr>
                <w:ilvl w:val="0"/>
                <w:numId w:val="1"/>
              </w:numPr>
              <w:spacing w:before="40" w:after="40"/>
              <w:ind w:left="147" w:hanging="144"/>
              <w:rPr>
                <w:rFonts w:ascii="Calibri" w:hAnsi="Calibri" w:cs="Calibri"/>
                <w:sz w:val="20"/>
                <w:szCs w:val="20"/>
              </w:rPr>
            </w:pPr>
            <w:r w:rsidRPr="00BF0799">
              <w:rPr>
                <w:rFonts w:ascii="Calibri" w:hAnsi="Calibri" w:cs="Calibri"/>
                <w:sz w:val="20"/>
                <w:szCs w:val="20"/>
              </w:rPr>
              <w:t>poprawnie odczytuje proste drzewo genealogiczne</w:t>
            </w:r>
          </w:p>
          <w:p w:rsidR="00737188" w:rsidRPr="00BF0799" w:rsidRDefault="00737188" w:rsidP="00B2370A">
            <w:pPr>
              <w:spacing w:before="40" w:after="40" w:line="240" w:lineRule="auto"/>
              <w:ind w:left="147" w:hanging="144"/>
              <w:rPr>
                <w:rFonts w:cs="Calibr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wyjaśnia znaczenie pamiątek rodzinnych i ich rolę w przekazywaniu historii</w:t>
            </w:r>
          </w:p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omawia, jak tradycje rodzinne budują więzi między pokoleniami</w:t>
            </w:r>
          </w:p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samodzielnie tworzy proste drzewo genealogiczne</w:t>
            </w:r>
          </w:p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potrafi opisać historię swojej rodziny na podstawie drzewa genealogicznego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188" w:rsidRPr="00BF0799" w:rsidRDefault="00737188" w:rsidP="00737188">
            <w:pPr>
              <w:pStyle w:val="Pa11"/>
              <w:numPr>
                <w:ilvl w:val="0"/>
                <w:numId w:val="1"/>
              </w:numPr>
              <w:spacing w:before="40" w:after="40"/>
              <w:ind w:left="147" w:hanging="144"/>
              <w:rPr>
                <w:rFonts w:ascii="Calibri" w:hAnsi="Calibri" w:cs="Calibri"/>
                <w:sz w:val="20"/>
                <w:szCs w:val="20"/>
              </w:rPr>
            </w:pPr>
            <w:r w:rsidRPr="00BF0799">
              <w:rPr>
                <w:rFonts w:ascii="Calibri" w:hAnsi="Calibri" w:cs="Calibri"/>
                <w:sz w:val="20"/>
                <w:szCs w:val="20"/>
              </w:rPr>
              <w:t>samodzielnie porządkuje zebrane informacje o historii własnej (lub wybranej) rodziny w uporządkowaną opowieść</w:t>
            </w:r>
          </w:p>
          <w:p w:rsidR="00737188" w:rsidRPr="00BF0799" w:rsidRDefault="00737188" w:rsidP="00737188">
            <w:pPr>
              <w:pStyle w:val="Pa11"/>
              <w:numPr>
                <w:ilvl w:val="0"/>
                <w:numId w:val="1"/>
              </w:numPr>
              <w:spacing w:before="40" w:after="40"/>
              <w:ind w:left="147" w:hanging="144"/>
              <w:rPr>
                <w:rFonts w:ascii="Calibri" w:hAnsi="Calibri" w:cs="Calibri"/>
                <w:sz w:val="20"/>
                <w:szCs w:val="20"/>
              </w:rPr>
            </w:pPr>
            <w:r w:rsidRPr="00BF0799">
              <w:rPr>
                <w:rFonts w:ascii="Calibri" w:hAnsi="Calibri" w:cs="Calibri"/>
                <w:sz w:val="20"/>
                <w:szCs w:val="20"/>
              </w:rPr>
              <w:t>wyjaśnia rolę tradycji rodzinnych w budowaniu tożsamości i więzi międzypokoleniowych</w:t>
            </w:r>
          </w:p>
          <w:p w:rsidR="00737188" w:rsidRPr="00BF0799" w:rsidRDefault="00737188" w:rsidP="00B2370A">
            <w:pPr>
              <w:snapToGrid w:val="0"/>
              <w:spacing w:before="40" w:after="40" w:line="240" w:lineRule="auto"/>
              <w:ind w:left="147" w:hanging="144"/>
              <w:rPr>
                <w:rFonts w:cs="Calibri"/>
                <w:sz w:val="20"/>
                <w:szCs w:val="20"/>
              </w:rPr>
            </w:pPr>
          </w:p>
        </w:tc>
      </w:tr>
      <w:tr w:rsidR="00737188" w:rsidRPr="00AA36C3" w:rsidTr="00B2370A">
        <w:trPr>
          <w:trHeight w:val="70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188" w:rsidRPr="00BF0799" w:rsidRDefault="00737188" w:rsidP="00B2370A">
            <w:pPr>
              <w:spacing w:before="40" w:after="40" w:line="240" w:lineRule="auto"/>
              <w:rPr>
                <w:rFonts w:eastAsia="Times New Roman" w:cs="Calibri"/>
                <w:sz w:val="20"/>
                <w:szCs w:val="20"/>
              </w:rPr>
            </w:pPr>
            <w:r w:rsidRPr="00BF0799">
              <w:rPr>
                <w:rFonts w:eastAsia="Times New Roman" w:cs="Calibri"/>
                <w:sz w:val="20"/>
                <w:szCs w:val="20"/>
              </w:rPr>
              <w:t>4. Czas w historii</w:t>
            </w:r>
            <w:r w:rsidRPr="00BF0799">
              <w:rPr>
                <w:rFonts w:eastAsia="Times New Roman" w:cs="Calibri"/>
                <w:sz w:val="20"/>
                <w:szCs w:val="20"/>
              </w:rPr>
              <w:tab/>
            </w:r>
            <w:r w:rsidRPr="00BF0799">
              <w:rPr>
                <w:rFonts w:eastAsia="Times New Roman" w:cs="Calibri"/>
                <w:sz w:val="20"/>
                <w:szCs w:val="20"/>
              </w:rPr>
              <w:tab/>
            </w:r>
          </w:p>
          <w:p w:rsidR="00737188" w:rsidRPr="00BF0799" w:rsidRDefault="00737188" w:rsidP="00B2370A">
            <w:pPr>
              <w:autoSpaceDE w:val="0"/>
              <w:autoSpaceDN w:val="0"/>
              <w:adjustRightInd w:val="0"/>
              <w:spacing w:before="40" w:after="40" w:line="240" w:lineRule="auto"/>
              <w:ind w:left="313" w:hanging="313"/>
              <w:rPr>
                <w:rFonts w:cs="Calibri"/>
                <w:sz w:val="20"/>
                <w:szCs w:val="20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chronologia i przedmiot jej badań</w:t>
            </w:r>
          </w:p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oś czasu i sposób umieszczania na niej dat</w:t>
            </w:r>
          </w:p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lastRenderedPageBreak/>
              <w:t>prehistoria i epoki historyczne oraz ich daty graniczne</w:t>
            </w:r>
          </w:p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cyfry rzymskie i</w:t>
            </w:r>
            <w:r>
              <w:rPr>
                <w:rFonts w:cs="Calibri"/>
                <w:sz w:val="20"/>
                <w:szCs w:val="20"/>
              </w:rPr>
              <w:t> </w:t>
            </w:r>
            <w:r w:rsidRPr="00BF0799">
              <w:rPr>
                <w:rFonts w:cs="Calibri"/>
                <w:sz w:val="20"/>
                <w:szCs w:val="20"/>
              </w:rPr>
              <w:t>arabskie</w:t>
            </w:r>
          </w:p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znaczenie pojęć: chronologia, oś czasu, stulecie, tysiąclecie, wiek, nasza era i czasy p.n.e., epoka historyczna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7188" w:rsidRPr="00BF0799" w:rsidRDefault="00737188" w:rsidP="00737188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</w:rPr>
            </w:pPr>
            <w:r w:rsidRPr="00BF0799">
              <w:rPr>
                <w:rFonts w:ascii="Calibri" w:hAnsi="Calibri" w:cs="Calibri"/>
                <w:sz w:val="20"/>
                <w:szCs w:val="20"/>
              </w:rPr>
              <w:lastRenderedPageBreak/>
              <w:t>z pomocą nauczyciela używa pojęć: oś czasu, tysiąclecie, stulecie, wiek</w:t>
            </w:r>
          </w:p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40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 xml:space="preserve">z pomocą nauczyciela </w:t>
            </w:r>
            <w:r w:rsidRPr="00BF0799">
              <w:rPr>
                <w:rFonts w:cs="Calibri"/>
                <w:sz w:val="20"/>
                <w:szCs w:val="20"/>
              </w:rPr>
              <w:lastRenderedPageBreak/>
              <w:t xml:space="preserve">tworzy prostą oś czasu 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7188" w:rsidRPr="00BF0799" w:rsidRDefault="00737188" w:rsidP="00737188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</w:rPr>
            </w:pPr>
            <w:r w:rsidRPr="00BF0799">
              <w:rPr>
                <w:rFonts w:ascii="Calibri" w:hAnsi="Calibri" w:cs="Calibri"/>
                <w:sz w:val="20"/>
                <w:szCs w:val="20"/>
              </w:rPr>
              <w:lastRenderedPageBreak/>
              <w:t>poprawnie posługuje się pojęciami: chronologia, okres p.n.e. i n.e., epoka historyczna</w:t>
            </w:r>
          </w:p>
          <w:p w:rsidR="00737188" w:rsidRPr="00BF0799" w:rsidRDefault="00737188" w:rsidP="00737188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</w:rPr>
            </w:pPr>
            <w:r w:rsidRPr="00BF0799">
              <w:rPr>
                <w:rFonts w:ascii="Calibri" w:hAnsi="Calibri" w:cs="Calibri"/>
                <w:sz w:val="20"/>
                <w:szCs w:val="20"/>
              </w:rPr>
              <w:t xml:space="preserve">zamienia cyfry arabskie </w:t>
            </w:r>
            <w:r w:rsidRPr="00BF0799">
              <w:rPr>
                <w:rFonts w:ascii="Calibri" w:hAnsi="Calibri" w:cs="Calibri"/>
                <w:sz w:val="20"/>
                <w:szCs w:val="20"/>
              </w:rPr>
              <w:lastRenderedPageBreak/>
              <w:t>na rzymskie</w:t>
            </w:r>
          </w:p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40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porządkuje epoki historyczne oraz umieszcza je w czasie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7188" w:rsidRPr="00BF0799" w:rsidRDefault="00737188" w:rsidP="00737188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</w:rPr>
            </w:pPr>
            <w:r w:rsidRPr="00BF0799">
              <w:rPr>
                <w:rFonts w:ascii="Calibri" w:hAnsi="Calibri" w:cs="Calibri"/>
                <w:sz w:val="20"/>
                <w:szCs w:val="20"/>
              </w:rPr>
              <w:lastRenderedPageBreak/>
              <w:t>poprawnie odczytuje informacje z osi czasu</w:t>
            </w:r>
          </w:p>
          <w:p w:rsidR="00737188" w:rsidRPr="00BF0799" w:rsidRDefault="00737188" w:rsidP="00737188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</w:rPr>
            </w:pPr>
            <w:r w:rsidRPr="00BF0799">
              <w:rPr>
                <w:rFonts w:ascii="Calibri" w:hAnsi="Calibri" w:cs="Calibri"/>
                <w:sz w:val="20"/>
                <w:szCs w:val="20"/>
              </w:rPr>
              <w:t>rozróżnia epoki historyczne</w:t>
            </w:r>
          </w:p>
          <w:p w:rsidR="00737188" w:rsidRPr="00BF0799" w:rsidRDefault="00737188" w:rsidP="00737188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</w:rPr>
            </w:pPr>
            <w:r w:rsidRPr="00BF0799">
              <w:rPr>
                <w:rFonts w:ascii="Calibri" w:hAnsi="Calibri" w:cs="Calibri"/>
                <w:sz w:val="20"/>
                <w:szCs w:val="20"/>
              </w:rPr>
              <w:t xml:space="preserve">biegle odczytuje </w:t>
            </w:r>
            <w:r w:rsidRPr="00BF0799">
              <w:rPr>
                <w:rFonts w:ascii="Calibri" w:hAnsi="Calibri" w:cs="Calibri"/>
                <w:sz w:val="20"/>
                <w:szCs w:val="20"/>
              </w:rPr>
              <w:lastRenderedPageBreak/>
              <w:t>i zapisuje daty z wykorzystaniem cyfr rzymskich i arabskich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7188" w:rsidRPr="00BF0799" w:rsidRDefault="00737188" w:rsidP="00737188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</w:rPr>
            </w:pPr>
            <w:r w:rsidRPr="00BF0799">
              <w:rPr>
                <w:rFonts w:ascii="Calibri" w:hAnsi="Calibri" w:cs="Calibri"/>
                <w:sz w:val="20"/>
                <w:szCs w:val="20"/>
              </w:rPr>
              <w:lastRenderedPageBreak/>
              <w:t xml:space="preserve">poprawnie posługuje się osią czasu i umieszcza na niej wydarzenia </w:t>
            </w:r>
          </w:p>
          <w:p w:rsidR="00737188" w:rsidRPr="00BF0799" w:rsidRDefault="00737188" w:rsidP="00737188">
            <w:pPr>
              <w:numPr>
                <w:ilvl w:val="0"/>
                <w:numId w:val="1"/>
              </w:numPr>
              <w:snapToGrid w:val="0"/>
              <w:spacing w:before="40" w:after="40" w:line="240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 xml:space="preserve">wyjaśnia okoliczności </w:t>
            </w:r>
            <w:r w:rsidRPr="00BF0799">
              <w:rPr>
                <w:rFonts w:cs="Calibri"/>
                <w:sz w:val="20"/>
                <w:szCs w:val="20"/>
              </w:rPr>
              <w:lastRenderedPageBreak/>
              <w:t>ustanowienia roku 1 i podziału na dwie ery</w:t>
            </w:r>
          </w:p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40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zna ramy czasowe epok historycznych i rozumie ich uznaniowość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lastRenderedPageBreak/>
              <w:t>charakteryzuje główne epoki historyczne</w:t>
            </w:r>
          </w:p>
          <w:p w:rsidR="00737188" w:rsidRPr="00BF0799" w:rsidRDefault="00737188" w:rsidP="00B2370A">
            <w:pPr>
              <w:snapToGrid w:val="0"/>
              <w:spacing w:before="40" w:after="40" w:line="240" w:lineRule="auto"/>
              <w:ind w:left="175" w:hanging="175"/>
              <w:rPr>
                <w:rFonts w:cs="Calibri"/>
                <w:sz w:val="20"/>
                <w:szCs w:val="20"/>
              </w:rPr>
            </w:pPr>
          </w:p>
        </w:tc>
      </w:tr>
      <w:tr w:rsidR="00737188" w:rsidRPr="00AA36C3" w:rsidTr="00B2370A">
        <w:trPr>
          <w:trHeight w:val="192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188" w:rsidRPr="00BF0799" w:rsidRDefault="00737188" w:rsidP="00B2370A">
            <w:pPr>
              <w:spacing w:before="40" w:after="40" w:line="240" w:lineRule="auto"/>
              <w:rPr>
                <w:rFonts w:eastAsia="Times New Roman" w:cs="Calibri"/>
                <w:sz w:val="20"/>
                <w:szCs w:val="20"/>
              </w:rPr>
            </w:pPr>
            <w:r w:rsidRPr="00BF0799">
              <w:rPr>
                <w:rFonts w:eastAsia="Times New Roman" w:cs="Calibri"/>
                <w:sz w:val="20"/>
                <w:szCs w:val="20"/>
              </w:rPr>
              <w:t>5. Obliczanie czasu w historii</w:t>
            </w:r>
          </w:p>
          <w:p w:rsidR="00737188" w:rsidRPr="00BF0799" w:rsidRDefault="00737188" w:rsidP="00B2370A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9" w:hanging="179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obliczanie upływu lat między wydarzeniami z n.e., p.n.e. i obu er</w:t>
            </w:r>
          </w:p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9" w:hanging="179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określanie, w którym wieku doszło do danego wydarzenia</w:t>
            </w:r>
          </w:p>
          <w:p w:rsidR="00737188" w:rsidRPr="00BF0799" w:rsidRDefault="00737188" w:rsidP="00B2370A">
            <w:pPr>
              <w:autoSpaceDE w:val="0"/>
              <w:autoSpaceDN w:val="0"/>
              <w:spacing w:before="40" w:after="40"/>
              <w:ind w:left="179" w:hanging="179"/>
              <w:rPr>
                <w:rFonts w:eastAsia="Times New Roman" w:cs="Calibr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9" w:hanging="179"/>
              <w:rPr>
                <w:rFonts w:cs="Calibri"/>
                <w:color w:val="000000"/>
                <w:sz w:val="20"/>
                <w:szCs w:val="20"/>
              </w:rPr>
            </w:pPr>
            <w:r w:rsidRPr="00BF0799">
              <w:rPr>
                <w:rStyle w:val="A13"/>
                <w:rFonts w:cs="Calibri"/>
                <w:sz w:val="20"/>
                <w:szCs w:val="20"/>
              </w:rPr>
              <w:t>z pomocą nauczyciela określa, w którym wieku rozegrało się dane wyda</w:t>
            </w:r>
            <w:r w:rsidRPr="00BF0799">
              <w:rPr>
                <w:rStyle w:val="A13"/>
                <w:rFonts w:cs="Calibri"/>
                <w:sz w:val="20"/>
                <w:szCs w:val="20"/>
              </w:rPr>
              <w:softHyphen/>
              <w:t>rzenie</w:t>
            </w:r>
          </w:p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9" w:hanging="179"/>
              <w:rPr>
                <w:rFonts w:eastAsia="Times" w:cs="Calibri"/>
                <w:sz w:val="20"/>
                <w:szCs w:val="20"/>
              </w:rPr>
            </w:pPr>
            <w:r w:rsidRPr="00BF0799">
              <w:rPr>
                <w:rStyle w:val="A13"/>
                <w:rFonts w:cs="Calibri"/>
                <w:sz w:val="20"/>
                <w:szCs w:val="20"/>
              </w:rPr>
              <w:t>oblicza upływ czasu między wydarzeniami w ramach jednej ery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9" w:hanging="179"/>
              <w:rPr>
                <w:rStyle w:val="A13"/>
                <w:rFonts w:cs="Calibri"/>
                <w:sz w:val="20"/>
                <w:szCs w:val="20"/>
              </w:rPr>
            </w:pPr>
            <w:r w:rsidRPr="00BF0799">
              <w:rPr>
                <w:rStyle w:val="A13"/>
                <w:rFonts w:cs="Calibri"/>
                <w:sz w:val="20"/>
                <w:szCs w:val="20"/>
              </w:rPr>
              <w:t>poprawnie wskazuje wydarzenie wcześniejsze w czasach p.n.e.</w:t>
            </w:r>
          </w:p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9" w:hanging="179"/>
              <w:rPr>
                <w:rFonts w:cs="Calibri"/>
                <w:sz w:val="20"/>
                <w:szCs w:val="20"/>
              </w:rPr>
            </w:pPr>
            <w:r w:rsidRPr="00BF0799">
              <w:rPr>
                <w:rStyle w:val="A13"/>
                <w:rFonts w:cs="Calibri"/>
                <w:sz w:val="20"/>
                <w:szCs w:val="20"/>
              </w:rPr>
              <w:t>oblicza upływ czasu między wydarzeniami w ramach obu er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40" w:lineRule="auto"/>
              <w:ind w:left="145" w:hanging="142"/>
              <w:rPr>
                <w:rFonts w:cs="Calibri"/>
                <w:sz w:val="20"/>
                <w:szCs w:val="20"/>
              </w:rPr>
            </w:pPr>
            <w:r w:rsidRPr="00BF0799">
              <w:rPr>
                <w:rFonts w:eastAsia="Times" w:cs="Calibri"/>
                <w:sz w:val="20"/>
                <w:szCs w:val="20"/>
              </w:rPr>
              <w:t>określa początek i koniec wieku</w:t>
            </w:r>
          </w:p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40" w:lineRule="auto"/>
              <w:ind w:left="145" w:hanging="142"/>
              <w:rPr>
                <w:rFonts w:cs="Calibri"/>
                <w:sz w:val="20"/>
                <w:szCs w:val="20"/>
              </w:rPr>
            </w:pPr>
            <w:r w:rsidRPr="00BF0799">
              <w:rPr>
                <w:rStyle w:val="A13"/>
                <w:rFonts w:cs="Calibri"/>
                <w:sz w:val="20"/>
                <w:szCs w:val="20"/>
              </w:rPr>
              <w:t>poprawnie umiejscawia wydarzenia z obu er na osi czasu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40" w:lineRule="auto"/>
              <w:ind w:left="145" w:hanging="142"/>
              <w:rPr>
                <w:rFonts w:cs="Calibri"/>
                <w:color w:val="000000"/>
                <w:sz w:val="20"/>
                <w:szCs w:val="20"/>
              </w:rPr>
            </w:pPr>
            <w:r w:rsidRPr="00BF0799">
              <w:rPr>
                <w:rStyle w:val="A13"/>
                <w:rFonts w:cs="Calibri"/>
                <w:sz w:val="20"/>
                <w:szCs w:val="20"/>
              </w:rPr>
              <w:t>oblicza upływ czasu między wydarzeniami, w tym na przełomie obu er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188" w:rsidRPr="00BF0799" w:rsidRDefault="00737188" w:rsidP="00737188">
            <w:pPr>
              <w:numPr>
                <w:ilvl w:val="0"/>
                <w:numId w:val="1"/>
              </w:numPr>
              <w:snapToGrid w:val="0"/>
              <w:spacing w:before="40" w:after="40" w:line="240" w:lineRule="auto"/>
              <w:ind w:left="145" w:hanging="142"/>
              <w:rPr>
                <w:rFonts w:cs="Calibri"/>
                <w:sz w:val="20"/>
                <w:szCs w:val="20"/>
              </w:rPr>
            </w:pPr>
            <w:r w:rsidRPr="00BF0799">
              <w:rPr>
                <w:rStyle w:val="A13"/>
                <w:rFonts w:cs="Calibri"/>
                <w:sz w:val="20"/>
                <w:szCs w:val="20"/>
              </w:rPr>
              <w:t>przyporządkowuje wyda</w:t>
            </w:r>
            <w:r w:rsidRPr="00BF0799">
              <w:rPr>
                <w:rStyle w:val="A13"/>
                <w:rFonts w:cs="Calibri"/>
                <w:sz w:val="20"/>
                <w:szCs w:val="20"/>
              </w:rPr>
              <w:softHyphen/>
              <w:t>rzenia do epok historycz</w:t>
            </w:r>
            <w:r w:rsidRPr="00BF0799">
              <w:rPr>
                <w:rStyle w:val="A13"/>
                <w:rFonts w:cs="Calibri"/>
                <w:sz w:val="20"/>
                <w:szCs w:val="20"/>
              </w:rPr>
              <w:softHyphen/>
              <w:t>nych</w:t>
            </w:r>
          </w:p>
        </w:tc>
      </w:tr>
      <w:tr w:rsidR="00737188" w:rsidRPr="002627BB" w:rsidTr="00B2370A">
        <w:trPr>
          <w:trHeight w:val="465"/>
        </w:trPr>
        <w:tc>
          <w:tcPr>
            <w:tcW w:w="1465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737188" w:rsidRPr="00AF1BE0" w:rsidRDefault="00737188" w:rsidP="00B2370A">
            <w:pPr>
              <w:snapToGrid w:val="0"/>
              <w:spacing w:after="0" w:line="240" w:lineRule="auto"/>
              <w:jc w:val="center"/>
            </w:pPr>
            <w:r w:rsidRPr="00AF1BE0">
              <w:rPr>
                <w:b/>
              </w:rPr>
              <w:t>Rozdział II: Mała i duża ojczyzna</w:t>
            </w:r>
          </w:p>
        </w:tc>
      </w:tr>
      <w:tr w:rsidR="00737188" w:rsidRPr="002627BB" w:rsidTr="00B2370A">
        <w:trPr>
          <w:trHeight w:val="69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188" w:rsidRPr="00BF0799" w:rsidRDefault="00737188" w:rsidP="00B2370A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1. Mieszkamy w Polsce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wspólnota państwowa (państwo) i wspólnota narodowa (naród)</w:t>
            </w:r>
          </w:p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polskie symbole narodowe i ich funkcje</w:t>
            </w:r>
          </w:p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polskie święta państwowe i ich funkcje</w:t>
            </w:r>
          </w:p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symbole UE</w:t>
            </w:r>
          </w:p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 xml:space="preserve">znaczenie pojęć: wspólnota, państwo, naród, ojczyzna, 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lastRenderedPageBreak/>
              <w:t>patriotyzm, symbole narodowe, Polonia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7188" w:rsidRPr="00BF0799" w:rsidRDefault="00737188" w:rsidP="00737188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lastRenderedPageBreak/>
              <w:t>z pomocą nauczyciela posługuje się pojęciami: państwo, naród, ojczyzna, patriotyzm, symbole narodowe</w:t>
            </w:r>
          </w:p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rozpoznaje polskie symbole narodowe</w:t>
            </w:r>
          </w:p>
          <w:p w:rsidR="00737188" w:rsidRPr="00BF0799" w:rsidRDefault="00737188" w:rsidP="00737188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wskazuje na mapie Europy Polskę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7188" w:rsidRPr="00BF0799" w:rsidRDefault="00737188" w:rsidP="00737188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poprawnie posługuje się pojęciami: wspólnota, Polonia</w:t>
            </w:r>
          </w:p>
          <w:p w:rsidR="00737188" w:rsidRPr="00BF0799" w:rsidRDefault="00737188" w:rsidP="00737188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przedstawia polskie symbo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softHyphen/>
              <w:t>le narodowe</w:t>
            </w:r>
          </w:p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40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identyfikuje symbole Unii Europejskiej: flagę i hymn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7188" w:rsidRPr="00BF0799" w:rsidRDefault="00737188" w:rsidP="00737188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wyjaśnia, czym jest wspólnota państwowa i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narodowa</w:t>
            </w:r>
          </w:p>
          <w:p w:rsidR="00737188" w:rsidRPr="00BF0799" w:rsidRDefault="00737188" w:rsidP="00737188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przedstawia genezę najważ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softHyphen/>
              <w:t>niejszych świąt państwowych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7188" w:rsidRPr="00BF0799" w:rsidRDefault="00737188" w:rsidP="00737188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 znaczenie świąt państwowych dla budowania wspólnoty i podaje przykłady świąt</w:t>
            </w:r>
          </w:p>
          <w:p w:rsidR="00737188" w:rsidRPr="00BF0799" w:rsidRDefault="00737188" w:rsidP="00737188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 znaczenie symboli narodowych dla wspólnoty narodowej i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państwowej</w:t>
            </w:r>
          </w:p>
          <w:p w:rsidR="00737188" w:rsidRPr="00BF0799" w:rsidRDefault="00737188" w:rsidP="00737188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 znaczenie symboli UE dla mieszkańców Polski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188" w:rsidRPr="00BF0799" w:rsidRDefault="00737188" w:rsidP="00737188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analizuje znaczenie narodu w historii i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współczesności</w:t>
            </w:r>
          </w:p>
          <w:p w:rsidR="00737188" w:rsidRPr="00BF0799" w:rsidRDefault="00737188" w:rsidP="00737188">
            <w:pPr>
              <w:numPr>
                <w:ilvl w:val="0"/>
                <w:numId w:val="1"/>
              </w:numPr>
              <w:snapToGrid w:val="0"/>
              <w:spacing w:before="40" w:after="40" w:line="240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rozumie znaczenie symboli Unii Europejskiej w</w:t>
            </w:r>
            <w:r>
              <w:rPr>
                <w:rFonts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kontekście integracji europejskiej</w:t>
            </w:r>
          </w:p>
        </w:tc>
      </w:tr>
      <w:tr w:rsidR="00737188" w:rsidRPr="002627BB" w:rsidTr="00B2370A">
        <w:trPr>
          <w:trHeight w:val="85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188" w:rsidRPr="00BF0799" w:rsidRDefault="00737188" w:rsidP="00B2370A">
            <w:pPr>
              <w:widowControl w:val="0"/>
              <w:autoSpaceDE w:val="0"/>
              <w:autoSpaceDN w:val="0"/>
              <w:spacing w:before="40" w:after="40" w:line="240" w:lineRule="auto"/>
              <w:rPr>
                <w:rFonts w:eastAsia="Times New Roman" w:cs="Calibri"/>
                <w:sz w:val="20"/>
                <w:szCs w:val="20"/>
              </w:rPr>
            </w:pPr>
            <w:r w:rsidRPr="00BF0799">
              <w:rPr>
                <w:rFonts w:eastAsia="Times New Roman" w:cs="Calibri"/>
                <w:sz w:val="20"/>
                <w:szCs w:val="20"/>
              </w:rPr>
              <w:t xml:space="preserve">2. </w:t>
            </w:r>
            <w:r w:rsidRPr="00BF0799">
              <w:rPr>
                <w:rFonts w:cs="Calibri"/>
                <w:sz w:val="20"/>
                <w:szCs w:val="20"/>
              </w:rPr>
              <w:t>Moja mała ojczyzna</w:t>
            </w:r>
          </w:p>
          <w:p w:rsidR="00737188" w:rsidRPr="00BF0799" w:rsidRDefault="00737188" w:rsidP="00B2370A">
            <w:pPr>
              <w:autoSpaceDE w:val="0"/>
              <w:autoSpaceDN w:val="0"/>
              <w:adjustRightInd w:val="0"/>
              <w:spacing w:before="40" w:after="40" w:line="240" w:lineRule="auto"/>
              <w:ind w:left="313" w:firstLine="567"/>
              <w:rPr>
                <w:rFonts w:cs="Calibri"/>
                <w:sz w:val="20"/>
                <w:szCs w:val="20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duża a mała ojczyzna</w:t>
            </w:r>
          </w:p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małe ojczyzny i ich tradycje</w:t>
            </w:r>
          </w:p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różnice kulturowo- historyczne między regionami (języki, obyczaje, stroje ludowe)</w:t>
            </w:r>
          </w:p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znaczenie pojęć: mała ojczyzna, region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7188" w:rsidRPr="00BF0799" w:rsidRDefault="00737188" w:rsidP="00737188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 pomocą nauczyciela posługuje się pojęciami: region, mała ojczyzna, duża ojczyzna</w:t>
            </w:r>
          </w:p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40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podaje nazwę regionu, w którym mieszka, i wskazuje go na mapie Polski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7188" w:rsidRPr="00BF0799" w:rsidRDefault="00737188" w:rsidP="00737188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rozumie, że różne regiony Polski mają inne tradycje i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zwyczaje</w:t>
            </w:r>
          </w:p>
          <w:p w:rsidR="00737188" w:rsidRPr="00BF0799" w:rsidRDefault="00737188" w:rsidP="00737188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podaje proste przykłady tradycji lokalnych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7188" w:rsidRPr="00BF0799" w:rsidRDefault="00737188" w:rsidP="00737188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analizując mapę, wymienia główne regiony Polski oraz wskazuje ich położenie</w:t>
            </w:r>
          </w:p>
          <w:p w:rsidR="00737188" w:rsidRPr="00BF0799" w:rsidRDefault="00737188" w:rsidP="00737188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rozumie różnicę między małą i dużą ojczyzną</w:t>
            </w:r>
          </w:p>
          <w:p w:rsidR="00737188" w:rsidRPr="00BF0799" w:rsidRDefault="00737188" w:rsidP="00737188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wskazuje różnice kulturowe i historyczne między regionami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7188" w:rsidRPr="00BF0799" w:rsidRDefault="00737188" w:rsidP="00737188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 znaczenie obrzędów, tradycji i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zwyczajów regionalnych dla budowania wspólnoty i wskazuje ich odmienność w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różnych częściach Polski</w:t>
            </w:r>
          </w:p>
          <w:p w:rsidR="00737188" w:rsidRPr="00BF0799" w:rsidRDefault="00737188" w:rsidP="00737188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omawia regiony Polski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188" w:rsidRPr="00BF0799" w:rsidRDefault="00737188" w:rsidP="00737188">
            <w:pPr>
              <w:numPr>
                <w:ilvl w:val="0"/>
                <w:numId w:val="1"/>
              </w:numPr>
              <w:snapToGrid w:val="0"/>
              <w:spacing w:before="40" w:after="40" w:line="240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porównuje tradycje i</w:t>
            </w:r>
            <w:r>
              <w:rPr>
                <w:rFonts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kulturę różnych regionów Polski</w:t>
            </w:r>
          </w:p>
          <w:p w:rsidR="00737188" w:rsidRPr="00BF0799" w:rsidRDefault="00737188" w:rsidP="00737188">
            <w:pPr>
              <w:numPr>
                <w:ilvl w:val="0"/>
                <w:numId w:val="1"/>
              </w:numPr>
              <w:snapToGrid w:val="0"/>
              <w:spacing w:before="40" w:after="40" w:line="240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omawia rolę gwary i</w:t>
            </w:r>
            <w:r>
              <w:rPr>
                <w:rFonts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dziedzictwa regionalnego</w:t>
            </w:r>
          </w:p>
        </w:tc>
      </w:tr>
      <w:tr w:rsidR="00737188" w:rsidRPr="002627BB" w:rsidTr="00B2370A">
        <w:trPr>
          <w:trHeight w:val="42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188" w:rsidRPr="00BF0799" w:rsidRDefault="00737188" w:rsidP="00B2370A">
            <w:pPr>
              <w:autoSpaceDE w:val="0"/>
              <w:autoSpaceDN w:val="0"/>
              <w:adjustRightInd w:val="0"/>
              <w:spacing w:before="40" w:after="40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3. Historia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poznawanie historii lokalnej</w:t>
            </w:r>
          </w:p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plan miasta jako źródło do historii lokalnej (zabytki, pomniki, patroni ulic i</w:t>
            </w:r>
            <w:r>
              <w:rPr>
                <w:rFonts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instytucji)</w:t>
            </w:r>
          </w:p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legenda jako źródło do historii regionalnej</w:t>
            </w:r>
          </w:p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zabytki i ich znaczenie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37188" w:rsidRPr="00BF0799" w:rsidRDefault="00737188" w:rsidP="00737188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rozumie, czym są zabytki i dlaczego są ważne</w:t>
            </w:r>
          </w:p>
          <w:p w:rsidR="00737188" w:rsidRPr="00BF0799" w:rsidRDefault="00737188" w:rsidP="00737188">
            <w:pPr>
              <w:numPr>
                <w:ilvl w:val="0"/>
                <w:numId w:val="1"/>
              </w:numPr>
              <w:snapToGrid w:val="0"/>
              <w:spacing w:before="40" w:after="40" w:line="259" w:lineRule="auto"/>
              <w:ind w:left="175" w:right="403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z pomocą nauczyciela wskazuje zabytki w</w:t>
            </w:r>
            <w:r>
              <w:rPr>
                <w:rFonts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swoim miejscu zamieszkania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37188" w:rsidRPr="00BF0799" w:rsidRDefault="00737188" w:rsidP="00737188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 pomocą nauczyciela rozpoznaje ślady przeszłości w swojej miejscowości</w:t>
            </w:r>
          </w:p>
          <w:p w:rsidR="00737188" w:rsidRPr="00BF0799" w:rsidRDefault="00737188" w:rsidP="00737188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podaje przykłady działań, które pomagają poznawać historię lokalną</w:t>
            </w:r>
          </w:p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 xml:space="preserve">dostrzega ograniczenia legend jako źródeł historycznych 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37188" w:rsidRPr="00BF0799" w:rsidRDefault="00737188" w:rsidP="00737188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wymienia postacie szczególnie zasłużone dla małej ojczyzny i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identyfikuje formy ich upamiętnienia</w:t>
            </w:r>
          </w:p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>
              <w:rPr>
                <w:rFonts w:cs="Calibri"/>
                <w:sz w:val="20"/>
                <w:szCs w:val="20"/>
                <w:lang w:bidi="pl-PL"/>
              </w:rPr>
              <w:t>rozumie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 xml:space="preserve"> znaczenie i</w:t>
            </w:r>
            <w:r>
              <w:rPr>
                <w:rFonts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konieczność ochrony zabytków historycznych w swoim regionie</w:t>
            </w:r>
          </w:p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wyjaśnia, czego można dowiedzieć się z legend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37188" w:rsidRPr="00BF0799" w:rsidRDefault="00737188" w:rsidP="00737188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samodzielnie rozpoznaje ślady przeszłości w swojej miejscowości i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podejmuje próby ich odczytania</w:t>
            </w:r>
          </w:p>
          <w:p w:rsidR="00737188" w:rsidRPr="00BF0799" w:rsidRDefault="00737188" w:rsidP="00737188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przedstawia legendy związane ze swoją okolicą i wskazuje w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nich elementy poświadczone historycznie i fikcyjne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188" w:rsidRPr="00BF0799" w:rsidRDefault="00737188" w:rsidP="00737188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samodzielnie 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odczytuje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ślady przeszłości w swojej miejscowości </w:t>
            </w:r>
          </w:p>
          <w:p w:rsidR="00737188" w:rsidRPr="00BF0799" w:rsidRDefault="00737188" w:rsidP="00737188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>
              <w:rPr>
                <w:rFonts w:ascii="Calibri" w:hAnsi="Calibri" w:cs="Calibri"/>
                <w:sz w:val="20"/>
                <w:szCs w:val="20"/>
                <w:lang w:bidi="pl-PL"/>
              </w:rPr>
              <w:t>w oparciu o zebrane informacje przedstawia historię swojej okolicy</w:t>
            </w:r>
          </w:p>
        </w:tc>
      </w:tr>
      <w:tr w:rsidR="00737188" w:rsidRPr="002627BB" w:rsidTr="00B2370A">
        <w:trPr>
          <w:trHeight w:val="567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188" w:rsidRPr="00BF0799" w:rsidRDefault="00737188" w:rsidP="00B2370A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4. Jak korzystać z mapy historycznej?</w:t>
            </w:r>
          </w:p>
          <w:p w:rsidR="00737188" w:rsidRPr="00BF0799" w:rsidRDefault="00737188" w:rsidP="00B2370A">
            <w:pPr>
              <w:autoSpaceDE w:val="0"/>
              <w:autoSpaceDN w:val="0"/>
              <w:adjustRightInd w:val="0"/>
              <w:spacing w:before="40" w:after="40" w:line="240" w:lineRule="auto"/>
              <w:ind w:left="313" w:hanging="349"/>
              <w:rPr>
                <w:rFonts w:cs="Calibri"/>
                <w:sz w:val="20"/>
                <w:szCs w:val="20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znaczenie mapy w</w:t>
            </w:r>
            <w:r>
              <w:rPr>
                <w:rFonts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pracy historyka</w:t>
            </w:r>
          </w:p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podobieństwa i</w:t>
            </w:r>
            <w:r>
              <w:rPr>
                <w:rFonts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różnice między mapą a planem</w:t>
            </w:r>
          </w:p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 xml:space="preserve">odczytywanie informacji z planu 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lastRenderedPageBreak/>
              <w:t>i</w:t>
            </w:r>
            <w:r>
              <w:rPr>
                <w:rFonts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mapy historycznej</w:t>
            </w:r>
          </w:p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odczytywanie skali i</w:t>
            </w:r>
            <w:r>
              <w:rPr>
                <w:rFonts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legendy mapy</w:t>
            </w:r>
          </w:p>
          <w:p w:rsidR="00737188" w:rsidRPr="00BF0799" w:rsidRDefault="00737188" w:rsidP="00737188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40" w:after="40" w:line="240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znaczenie pojęć: mapa, plan, legenda, skala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7188" w:rsidRPr="00BF0799" w:rsidRDefault="00737188" w:rsidP="00737188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lastRenderedPageBreak/>
              <w:t>rozumie pojęcia: mapa, plan, legenda, skala</w:t>
            </w:r>
          </w:p>
          <w:p w:rsidR="00737188" w:rsidRPr="00BF0799" w:rsidRDefault="00737188" w:rsidP="00737188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wymienia elementy mapy historycznej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wyjaśnia, czym różni się mapa historyczna od planu historycznego</w:t>
            </w:r>
          </w:p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 xml:space="preserve">odczytuje podstawowe informacje z mapy 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lastRenderedPageBreak/>
              <w:t>i</w:t>
            </w:r>
            <w:r>
              <w:rPr>
                <w:rFonts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planu historycznego</w:t>
            </w:r>
          </w:p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poprawnie korzysta z</w:t>
            </w:r>
            <w:r>
              <w:rPr>
                <w:rFonts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legendy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lastRenderedPageBreak/>
              <w:t>samodzielnie odczytuje informacje z mapy i planu historycznego</w:t>
            </w:r>
          </w:p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rozumie, czym jest skala i</w:t>
            </w:r>
            <w:r>
              <w:rPr>
                <w:rFonts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do czego służy</w:t>
            </w:r>
          </w:p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 xml:space="preserve">wyjaśnia znaczenie legendy mapy 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lastRenderedPageBreak/>
              <w:t>i</w:t>
            </w:r>
            <w:r>
              <w:rPr>
                <w:rFonts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poprawnie interpretuje jej symbole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lastRenderedPageBreak/>
              <w:t>wyjaśnia, jak historycy wykorzystują mapy do badania przeszłości</w:t>
            </w:r>
          </w:p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 xml:space="preserve">wyciąga proste wnioski na podstawie 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lastRenderedPageBreak/>
              <w:t>mapy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lastRenderedPageBreak/>
              <w:t>łączy informacje z</w:t>
            </w:r>
            <w:r>
              <w:rPr>
                <w:rFonts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mapy z innymi źródłami wiedzy</w:t>
            </w:r>
          </w:p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wyciąga trafne i</w:t>
            </w:r>
            <w:r>
              <w:rPr>
                <w:rFonts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złożone wnioski na podstawie mapy</w:t>
            </w:r>
          </w:p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 xml:space="preserve">podejmuje próbę 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lastRenderedPageBreak/>
              <w:t>stworzenia własnej mapy historycznej związanej z</w:t>
            </w:r>
            <w:r>
              <w:rPr>
                <w:rFonts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wybranym wydarzeniem lub procesem z historii małej ojczyzny</w:t>
            </w:r>
          </w:p>
        </w:tc>
      </w:tr>
      <w:tr w:rsidR="00737188" w:rsidRPr="002627BB" w:rsidTr="00B2370A">
        <w:trPr>
          <w:trHeight w:val="465"/>
        </w:trPr>
        <w:tc>
          <w:tcPr>
            <w:tcW w:w="1465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737188" w:rsidRPr="004303C4" w:rsidRDefault="00737188" w:rsidP="00B2370A">
            <w:pPr>
              <w:snapToGrid w:val="0"/>
              <w:spacing w:after="0" w:line="240" w:lineRule="auto"/>
              <w:jc w:val="center"/>
            </w:pPr>
            <w:r w:rsidRPr="004303C4">
              <w:rPr>
                <w:rFonts w:eastAsia="Arial Unicode MS"/>
                <w:b/>
                <w:lang w:bidi="pl-PL"/>
              </w:rPr>
              <w:lastRenderedPageBreak/>
              <w:t xml:space="preserve">Rozdział III: </w:t>
            </w:r>
            <w:r w:rsidRPr="004303C4">
              <w:rPr>
                <w:b/>
              </w:rPr>
              <w:t>Z najdawniejszych dziejów</w:t>
            </w:r>
          </w:p>
        </w:tc>
      </w:tr>
      <w:tr w:rsidR="00737188" w:rsidRPr="002627BB" w:rsidTr="00B2370A">
        <w:trPr>
          <w:trHeight w:val="567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188" w:rsidRPr="00BF0799" w:rsidRDefault="00737188" w:rsidP="00B2370A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 xml:space="preserve">1. </w:t>
            </w:r>
            <w:r w:rsidRPr="00BF0799">
              <w:rPr>
                <w:rFonts w:eastAsia="Arial Unicode MS" w:cs="Calibri"/>
                <w:bCs/>
                <w:sz w:val="20"/>
                <w:szCs w:val="20"/>
                <w:lang w:bidi="pl-PL"/>
              </w:rPr>
              <w:t>Jak żyli pierwsi ludzie?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pochodzenie człowieka i jego ekspansja</w:t>
            </w:r>
          </w:p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życie człowieka pierwotnego</w:t>
            </w:r>
          </w:p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różnice między koczowniczym a</w:t>
            </w:r>
            <w:r>
              <w:rPr>
                <w:rFonts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osiadłym trybem życia</w:t>
            </w:r>
          </w:p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początki rolnictwa i</w:t>
            </w:r>
            <w:r>
              <w:rPr>
                <w:rFonts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udomowienie zwierząt</w:t>
            </w:r>
          </w:p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znaczenie pojęć: człowiek rozumny, koczowniczy tryb życia, osiadły tryb życia, rewolucja neolityczna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z pomocą nauczyciela posługuje się pojęciami: koczowniczy i osiadły tryb życia, człowiek rozumny</w:t>
            </w:r>
          </w:p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opisuje różnice między człowiekiem pierwotnym a</w:t>
            </w:r>
            <w:r>
              <w:rPr>
                <w:rFonts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współczesnym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poprawnie posługuje się pojęciami: rewolucja neolityczna, Żyzny Półksiężyc</w:t>
            </w:r>
          </w:p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opisuje początki rolnictwa i</w:t>
            </w:r>
            <w:r>
              <w:rPr>
                <w:rFonts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udomowienie zwierząt</w:t>
            </w:r>
          </w:p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>
              <w:rPr>
                <w:rFonts w:cs="Calibri"/>
                <w:sz w:val="20"/>
                <w:szCs w:val="20"/>
                <w:lang w:bidi="pl-PL"/>
              </w:rPr>
              <w:t>wymienia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 xml:space="preserve"> korzyści</w:t>
            </w:r>
            <w:r>
              <w:rPr>
                <w:rFonts w:cs="Calibri"/>
                <w:sz w:val="20"/>
                <w:szCs w:val="20"/>
                <w:lang w:bidi="pl-PL"/>
              </w:rPr>
              <w:t>, które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 xml:space="preserve"> da</w:t>
            </w:r>
            <w:r>
              <w:rPr>
                <w:rFonts w:cs="Calibri"/>
                <w:sz w:val="20"/>
                <w:szCs w:val="20"/>
                <w:lang w:bidi="pl-PL"/>
              </w:rPr>
              <w:t>ły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 xml:space="preserve"> człowiekowi umiejętnoś</w:t>
            </w:r>
            <w:r>
              <w:rPr>
                <w:rFonts w:cs="Calibri"/>
                <w:sz w:val="20"/>
                <w:szCs w:val="20"/>
                <w:lang w:bidi="pl-PL"/>
              </w:rPr>
              <w:t>ci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 xml:space="preserve"> uprawy ziemi i hodowli zwierząt</w:t>
            </w:r>
          </w:p>
          <w:p w:rsidR="00737188" w:rsidRPr="00BF0799" w:rsidRDefault="00737188" w:rsidP="00B2370A">
            <w:pPr>
              <w:spacing w:before="40" w:after="40"/>
              <w:rPr>
                <w:rFonts w:cs="Calibri"/>
                <w:sz w:val="20"/>
                <w:szCs w:val="20"/>
                <w:lang w:bidi="pl-PL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wyjaśnia różnice między koczowniczym a osiadłym trybem życia</w:t>
            </w:r>
          </w:p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wyjaśnia, na czym polegała rewolucja neolityczna</w:t>
            </w:r>
          </w:p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opisuje cechy i</w:t>
            </w:r>
            <w:r>
              <w:rPr>
                <w:rFonts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umiejętności przodków człowieka rozumnego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wskazuje umiejętności, których nabycie umożliwiło ludziom przejście na osiadły tryb życia</w:t>
            </w:r>
          </w:p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wyjaśnia długofalowe skutki rewolucji neolitycznej</w:t>
            </w:r>
          </w:p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wskazuje szlaki, którymi ludność zasiedliła różne kontynenty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analizuje znaczenie rewolucji neolitycznej dla rozwoju cywilizacji</w:t>
            </w:r>
          </w:p>
          <w:p w:rsidR="00737188" w:rsidRPr="00BF0799" w:rsidRDefault="00737188" w:rsidP="00737188">
            <w:pPr>
              <w:numPr>
                <w:ilvl w:val="0"/>
                <w:numId w:val="1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wyciąga wnioski dotyczące zmian w</w:t>
            </w:r>
            <w:r>
              <w:rPr>
                <w:rFonts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sposobie życia człowieka</w:t>
            </w:r>
          </w:p>
        </w:tc>
      </w:tr>
      <w:tr w:rsidR="00737188" w:rsidRPr="002627BB" w:rsidTr="00B2370A">
        <w:trPr>
          <w:trHeight w:val="326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188" w:rsidRPr="00BF0799" w:rsidRDefault="00737188" w:rsidP="00B2370A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lastRenderedPageBreak/>
              <w:t xml:space="preserve">2. </w:t>
            </w:r>
            <w:r w:rsidRPr="00BF0799">
              <w:rPr>
                <w:rFonts w:eastAsia="Arial Unicode MS" w:cs="Calibri"/>
                <w:bCs/>
                <w:sz w:val="20"/>
                <w:szCs w:val="20"/>
                <w:lang w:bidi="pl-PL"/>
              </w:rPr>
              <w:t>Pierwsze cywilizacje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188" w:rsidRPr="00BF0799" w:rsidRDefault="00737188" w:rsidP="00737188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życie w dolinach wielkich rzek</w:t>
            </w:r>
          </w:p>
          <w:p w:rsidR="00737188" w:rsidRPr="00BF0799" w:rsidRDefault="00737188" w:rsidP="00737188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kształtowanie się pierwszych miast i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państw</w:t>
            </w:r>
          </w:p>
          <w:p w:rsidR="00737188" w:rsidRPr="00BF0799" w:rsidRDefault="00737188" w:rsidP="00737188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powstanie pisma</w:t>
            </w:r>
          </w:p>
          <w:p w:rsidR="00737188" w:rsidRPr="00BF0799" w:rsidRDefault="00737188" w:rsidP="00737188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znaczenie pojęć: miasto-państwo, Mezopotamia, cywilizacja, kanały nawadniające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7188" w:rsidRPr="00BF0799" w:rsidRDefault="00737188" w:rsidP="00737188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 pomocą nauczyciela posługuje się pojęciami: Mezopotamia, cywilizacja, kanały nawadniające</w:t>
            </w:r>
          </w:p>
          <w:p w:rsidR="00737188" w:rsidRPr="00BF0799" w:rsidRDefault="00737188" w:rsidP="00737188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wskazuje na mapie obszar Mezopotamii</w:t>
            </w:r>
          </w:p>
          <w:p w:rsidR="00737188" w:rsidRPr="00BF0799" w:rsidRDefault="00737188" w:rsidP="00737188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 zasadę oko za oko, ząb za ząb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7188" w:rsidRPr="00BF0799" w:rsidRDefault="00737188" w:rsidP="00737188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poprawnie posługuje się pojęciem: miasto-państwo</w:t>
            </w:r>
          </w:p>
          <w:p w:rsidR="00737188" w:rsidRPr="00BF0799" w:rsidRDefault="00737188" w:rsidP="00737188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wymienia najważniejsze osiągnięcia cywilizacyjne ludów starożytnej Mezopotamii i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Babilonii</w:t>
            </w:r>
          </w:p>
          <w:p w:rsidR="00737188" w:rsidRPr="00BF0799" w:rsidRDefault="00737188" w:rsidP="00737188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opisuje początki pierwszych miast i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państw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7188" w:rsidRPr="00BF0799" w:rsidRDefault="00737188" w:rsidP="00737188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>
              <w:rPr>
                <w:rFonts w:ascii="Calibri" w:hAnsi="Calibri" w:cs="Calibri"/>
                <w:sz w:val="20"/>
                <w:szCs w:val="20"/>
                <w:lang w:bidi="pl-PL"/>
              </w:rPr>
              <w:t>wyjaśnia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rolę wielkich rzek w rozwoju rolnictwa, handlu i komunikacji</w:t>
            </w:r>
          </w:p>
          <w:p w:rsidR="00737188" w:rsidRPr="00BF0799" w:rsidRDefault="00737188" w:rsidP="00737188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wyjaśnia, do czego służyło pismo w dawnych czasach</w:t>
            </w:r>
          </w:p>
          <w:p w:rsidR="00737188" w:rsidRPr="00BF0799" w:rsidRDefault="00737188" w:rsidP="00737188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 znaczenie kodyfikacji prawa w życiu społecznym</w:t>
            </w:r>
          </w:p>
          <w:p w:rsidR="00737188" w:rsidRPr="00BF0799" w:rsidRDefault="00737188" w:rsidP="00737188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charakteryzuje osiągnięcia pierwszych cywilizacji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7188" w:rsidRPr="00BF0799" w:rsidRDefault="00737188" w:rsidP="00737188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porównuje osiągnięcia pierwszych cywilizacji</w:t>
            </w:r>
          </w:p>
          <w:p w:rsidR="00737188" w:rsidRPr="00BF0799" w:rsidRDefault="00737188" w:rsidP="00737188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ocenia kary zawarte w Kodeksie Hammurabiego</w:t>
            </w:r>
          </w:p>
          <w:p w:rsidR="00737188" w:rsidRPr="00BF0799" w:rsidRDefault="00737188" w:rsidP="00737188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uzasadnia znaczenie osiągnięć pierwszych cywilizacji dla późniejszych epok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188" w:rsidRPr="00BF0799" w:rsidRDefault="00737188" w:rsidP="00737188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wymienia współczesne przedmioty, których powstanie było możliwe dzięki osiągnięciom ludów Mezopotamii</w:t>
            </w:r>
          </w:p>
        </w:tc>
      </w:tr>
    </w:tbl>
    <w:p w:rsidR="00A76715" w:rsidRDefault="00A76715"/>
    <w:sectPr w:rsidR="00A76715" w:rsidSect="00EA49F4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52FDB" w:rsidRDefault="00552FDB">
      <w:pPr>
        <w:spacing w:after="0" w:line="240" w:lineRule="auto"/>
      </w:pPr>
      <w:r>
        <w:separator/>
      </w:r>
    </w:p>
  </w:endnote>
  <w:endnote w:type="continuationSeparator" w:id="0">
    <w:p w:rsidR="00552FDB" w:rsidRDefault="00552F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umanst521EU">
    <w:altName w:val="Calibri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0936" w:rsidRDefault="00A76715">
    <w:pPr>
      <w:pStyle w:val="Stopk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A51E5">
      <w:rPr>
        <w:noProof/>
      </w:rPr>
      <w:t>1</w:t>
    </w:r>
    <w:r>
      <w:fldChar w:fldCharType="end"/>
    </w:r>
  </w:p>
  <w:p w:rsidR="00180936" w:rsidRDefault="00552FD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52FDB" w:rsidRDefault="00552FDB">
      <w:pPr>
        <w:spacing w:after="0" w:line="240" w:lineRule="auto"/>
      </w:pPr>
      <w:r>
        <w:separator/>
      </w:r>
    </w:p>
  </w:footnote>
  <w:footnote w:type="continuationSeparator" w:id="0">
    <w:p w:rsidR="00552FDB" w:rsidRDefault="00552F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CB265A"/>
    <w:multiLevelType w:val="hybridMultilevel"/>
    <w:tmpl w:val="C3867680"/>
    <w:lvl w:ilvl="0" w:tplc="69D0E9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188"/>
    <w:rsid w:val="002A51E5"/>
    <w:rsid w:val="00552FDB"/>
    <w:rsid w:val="00737188"/>
    <w:rsid w:val="00A76715"/>
    <w:rsid w:val="00C91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9AC31B-47AC-4017-8441-36E677125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a11">
    <w:name w:val="Pa11"/>
    <w:basedOn w:val="Normalny"/>
    <w:next w:val="Normalny"/>
    <w:uiPriority w:val="99"/>
    <w:rsid w:val="00737188"/>
    <w:pPr>
      <w:autoSpaceDE w:val="0"/>
      <w:autoSpaceDN w:val="0"/>
      <w:adjustRightInd w:val="0"/>
      <w:spacing w:after="0" w:line="241" w:lineRule="atLeast"/>
    </w:pPr>
    <w:rPr>
      <w:rFonts w:ascii="Humanst521EU" w:eastAsia="Calibri" w:hAnsi="Humanst521EU" w:cs="Times New Roman"/>
      <w:sz w:val="24"/>
      <w:szCs w:val="24"/>
      <w:lang w:eastAsia="en-US"/>
    </w:rPr>
  </w:style>
  <w:style w:type="character" w:customStyle="1" w:styleId="A13">
    <w:name w:val="A13"/>
    <w:uiPriority w:val="99"/>
    <w:rsid w:val="00737188"/>
    <w:rPr>
      <w:rFonts w:cs="Humanst521EU"/>
      <w:color w:val="000000"/>
      <w:sz w:val="15"/>
      <w:szCs w:val="15"/>
    </w:rPr>
  </w:style>
  <w:style w:type="paragraph" w:styleId="Stopka">
    <w:name w:val="footer"/>
    <w:basedOn w:val="Normalny"/>
    <w:link w:val="StopkaZnak"/>
    <w:uiPriority w:val="99"/>
    <w:unhideWhenUsed/>
    <w:rsid w:val="00737188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737188"/>
    <w:rPr>
      <w:rFonts w:ascii="Calibri" w:eastAsia="Calibri" w:hAnsi="Calibri" w:cs="Times New Roman"/>
      <w:lang w:eastAsia="en-US"/>
    </w:rPr>
  </w:style>
  <w:style w:type="character" w:customStyle="1" w:styleId="ui-provider">
    <w:name w:val="ui-provider"/>
    <w:rsid w:val="007371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1721</Words>
  <Characters>10332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user</cp:lastModifiedBy>
  <cp:revision>2</cp:revision>
  <dcterms:created xsi:type="dcterms:W3CDTF">2026-09-08T07:27:00Z</dcterms:created>
  <dcterms:modified xsi:type="dcterms:W3CDTF">2026-09-08T07:27:00Z</dcterms:modified>
</cp:coreProperties>
</file>