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0051C3" w:rsidRDefault="000051C3" w:rsidP="00AD383F">
      <w:pPr>
        <w:spacing w:after="120"/>
      </w:pPr>
      <w:r w:rsidRPr="00005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Roczne wymagania edukacyjne z</w:t>
      </w:r>
      <w:r w:rsidRPr="00005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przyrody w klasie czwartej </w:t>
      </w:r>
      <w:r w:rsidR="00AD383F" w:rsidRPr="000051C3">
        <w:rPr>
          <w:rFonts w:ascii="Times New Roman" w:hAnsi="Times New Roman" w:cs="Times New Roman"/>
          <w:b/>
          <w:sz w:val="28"/>
          <w:szCs w:val="28"/>
        </w:rPr>
        <w:t>do serii</w:t>
      </w:r>
      <w:r w:rsidR="00AD383F" w:rsidRPr="000051C3">
        <w:rPr>
          <w:rFonts w:ascii="Times New Roman" w:hAnsi="Times New Roman"/>
          <w:b/>
          <w:sz w:val="28"/>
          <w:szCs w:val="28"/>
        </w:rPr>
        <w:t xml:space="preserve"> „Tajemnice przyrody” </w:t>
      </w:r>
    </w:p>
    <w:tbl>
      <w:tblPr>
        <w:tblStyle w:val="Tabela-Siatka"/>
        <w:tblW w:w="5000" w:type="pct"/>
        <w:tblLook w:val="04A0"/>
      </w:tblPr>
      <w:tblGrid>
        <w:gridCol w:w="1677"/>
        <w:gridCol w:w="1630"/>
        <w:gridCol w:w="2514"/>
        <w:gridCol w:w="2377"/>
        <w:gridCol w:w="2233"/>
        <w:gridCol w:w="2523"/>
        <w:gridCol w:w="2661"/>
      </w:tblGrid>
      <w:tr w:rsidR="0000320E" w:rsidRPr="001415F4" w:rsidTr="009301B3">
        <w:trPr>
          <w:cantSplit/>
          <w:tblHeader/>
        </w:trPr>
        <w:tc>
          <w:tcPr>
            <w:tcW w:w="53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:rsidTr="009301B3">
        <w:trPr>
          <w:cantSplit/>
        </w:trPr>
        <w:tc>
          <w:tcPr>
            <w:tcW w:w="1059" w:type="pct"/>
            <w:gridSpan w:val="2"/>
          </w:tcPr>
          <w:p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9301B3">
        <w:trPr>
          <w:cantSplit/>
          <w:trHeight w:val="1645"/>
        </w:trPr>
        <w:tc>
          <w:tcPr>
            <w:tcW w:w="537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:rsidTr="00334D04">
        <w:trPr>
          <w:cantSplit/>
        </w:trPr>
        <w:tc>
          <w:tcPr>
            <w:tcW w:w="1059" w:type="pct"/>
            <w:gridSpan w:val="2"/>
          </w:tcPr>
          <w:p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9301B3">
        <w:trPr>
          <w:cantSplit/>
          <w:trHeight w:val="1854"/>
        </w:trPr>
        <w:tc>
          <w:tcPr>
            <w:tcW w:w="537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1807"/>
        </w:trPr>
        <w:tc>
          <w:tcPr>
            <w:tcW w:w="537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9301B3">
        <w:trPr>
          <w:cantSplit/>
        </w:trPr>
        <w:tc>
          <w:tcPr>
            <w:tcW w:w="537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:rsidTr="00334D04">
        <w:trPr>
          <w:cantSplit/>
        </w:trPr>
        <w:tc>
          <w:tcPr>
            <w:tcW w:w="1059" w:type="pct"/>
            <w:gridSpan w:val="2"/>
          </w:tcPr>
          <w:p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9301B3">
        <w:trPr>
          <w:cantSplit/>
          <w:trHeight w:val="1454"/>
        </w:trPr>
        <w:tc>
          <w:tcPr>
            <w:tcW w:w="537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przykłady, sposoby zdobywania pokarmu przez organizmy cudzożywne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2" w:type="pct"/>
            <w:vMerge w:val="restart"/>
          </w:tcPr>
          <w:p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sieć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3933"/>
        </w:trPr>
        <w:tc>
          <w:tcPr>
            <w:tcW w:w="537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9301B3">
        <w:trPr>
          <w:cantSplit/>
        </w:trPr>
        <w:tc>
          <w:tcPr>
            <w:tcW w:w="537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:rsidTr="00B6215C">
        <w:trPr>
          <w:cantSplit/>
        </w:trPr>
        <w:tc>
          <w:tcPr>
            <w:tcW w:w="1059" w:type="pct"/>
            <w:gridSpan w:val="2"/>
          </w:tcPr>
          <w:p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:rsidTr="009301B3">
        <w:trPr>
          <w:cantSplit/>
          <w:trHeight w:val="1996"/>
        </w:trPr>
        <w:tc>
          <w:tcPr>
            <w:tcW w:w="537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22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:rsidTr="00B6215C">
        <w:trPr>
          <w:cantSplit/>
        </w:trPr>
        <w:tc>
          <w:tcPr>
            <w:tcW w:w="1059" w:type="pct"/>
            <w:gridSpan w:val="2"/>
          </w:tcPr>
          <w:p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2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9301B3">
        <w:tc>
          <w:tcPr>
            <w:tcW w:w="537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808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:rsidTr="009301B3">
        <w:trPr>
          <w:cantSplit/>
        </w:trPr>
        <w:tc>
          <w:tcPr>
            <w:tcW w:w="537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:rsidTr="009301B3">
        <w:trPr>
          <w:cantSplit/>
          <w:trHeight w:val="608"/>
        </w:trPr>
        <w:tc>
          <w:tcPr>
            <w:tcW w:w="537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9301B3">
        <w:trPr>
          <w:cantSplit/>
          <w:trHeight w:val="608"/>
        </w:trPr>
        <w:tc>
          <w:tcPr>
            <w:tcW w:w="537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607"/>
        </w:trPr>
        <w:tc>
          <w:tcPr>
            <w:tcW w:w="537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wzniesienia i </w:t>
            </w:r>
            <w:proofErr w:type="spellStart"/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zagłebienia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formy terenu dominujące w krajobrazie najbliższej okolicy (D)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  <w:trHeight w:val="2059"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:rsidTr="009301B3">
        <w:trPr>
          <w:cantSplit/>
          <w:trHeight w:val="1131"/>
        </w:trPr>
        <w:tc>
          <w:tcPr>
            <w:tcW w:w="537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9301B3">
        <w:trPr>
          <w:cantSplit/>
          <w:trHeight w:val="2832"/>
        </w:trPr>
        <w:tc>
          <w:tcPr>
            <w:tcW w:w="537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808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C6" w:rsidRDefault="00B75AC6" w:rsidP="00B35908">
      <w:pPr>
        <w:spacing w:after="0" w:line="240" w:lineRule="auto"/>
      </w:pPr>
      <w:r>
        <w:separator/>
      </w:r>
    </w:p>
  </w:endnote>
  <w:endnote w:type="continuationSeparator" w:id="0">
    <w:p w:rsidR="00B75AC6" w:rsidRDefault="00B75AC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C6" w:rsidRDefault="00B75AC6" w:rsidP="00B35908">
      <w:pPr>
        <w:spacing w:after="0" w:line="240" w:lineRule="auto"/>
      </w:pPr>
      <w:r>
        <w:separator/>
      </w:r>
    </w:p>
  </w:footnote>
  <w:footnote w:type="continuationSeparator" w:id="0">
    <w:p w:rsidR="00B75AC6" w:rsidRDefault="00B75AC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B6215C" w:rsidRDefault="00080A20">
        <w:pPr>
          <w:pStyle w:val="Nagwek"/>
          <w:jc w:val="right"/>
        </w:pPr>
        <w:r>
          <w:fldChar w:fldCharType="begin"/>
        </w:r>
        <w:r w:rsidR="00B6215C">
          <w:instrText>PAGE   \* MERGEFORMAT</w:instrText>
        </w:r>
        <w:r>
          <w:fldChar w:fldCharType="separate"/>
        </w:r>
        <w:r w:rsidR="000051C3">
          <w:rPr>
            <w:noProof/>
          </w:rPr>
          <w:t>1</w:t>
        </w:r>
        <w:r>
          <w:fldChar w:fldCharType="end"/>
        </w:r>
      </w:p>
    </w:sdtContent>
  </w:sdt>
  <w:p w:rsidR="00B6215C" w:rsidRDefault="00B6215C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0320E"/>
    <w:rsid w:val="000051C3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0A2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AC6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9E7E-4E4A-4EAB-9E79-671667A2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5677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mlaba</cp:lastModifiedBy>
  <cp:revision>8</cp:revision>
  <cp:lastPrinted>2017-06-28T07:12:00Z</cp:lastPrinted>
  <dcterms:created xsi:type="dcterms:W3CDTF">2023-09-06T08:23:00Z</dcterms:created>
  <dcterms:modified xsi:type="dcterms:W3CDTF">2024-03-03T18:32:00Z</dcterms:modified>
</cp:coreProperties>
</file>